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C9486" w14:textId="540E3F05" w:rsidR="00CC1D40" w:rsidRPr="00CC1D40" w:rsidRDefault="00CD5C4B">
      <w:pPr>
        <w:rPr>
          <w:rFonts w:ascii="Calibri" w:hAnsi="Calibri"/>
          <w:b/>
          <w:sz w:val="23"/>
          <w:szCs w:val="23"/>
        </w:rPr>
      </w:pPr>
      <w:r>
        <w:rPr>
          <w:rFonts w:ascii="Calibri" w:hAnsi="Calibri"/>
          <w:b/>
          <w:sz w:val="23"/>
          <w:szCs w:val="23"/>
        </w:rPr>
        <w:t>Rotation 9 (Emergency Medicine, Week 4</w:t>
      </w:r>
      <w:r w:rsidR="00CC1D40" w:rsidRPr="00CC1D40">
        <w:rPr>
          <w:rFonts w:ascii="Calibri" w:hAnsi="Calibri"/>
          <w:b/>
          <w:sz w:val="23"/>
          <w:szCs w:val="23"/>
        </w:rPr>
        <w:t>)</w:t>
      </w:r>
    </w:p>
    <w:p w14:paraId="4E6A9752" w14:textId="7B3C6B25" w:rsidR="00B22DA6" w:rsidRPr="00CC1D40" w:rsidRDefault="00CC1D40">
      <w:pPr>
        <w:rPr>
          <w:rFonts w:ascii="Calibri" w:hAnsi="Calibri"/>
          <w:b/>
          <w:sz w:val="23"/>
          <w:szCs w:val="23"/>
        </w:rPr>
      </w:pPr>
      <w:r w:rsidRPr="00CC1D40">
        <w:rPr>
          <w:rFonts w:ascii="Calibri" w:hAnsi="Calibri"/>
          <w:b/>
          <w:sz w:val="23"/>
          <w:szCs w:val="23"/>
        </w:rPr>
        <w:t xml:space="preserve">CAT </w:t>
      </w:r>
      <w:r w:rsidR="00CD5C4B">
        <w:rPr>
          <w:rFonts w:ascii="Calibri" w:hAnsi="Calibri"/>
          <w:b/>
          <w:sz w:val="23"/>
          <w:szCs w:val="23"/>
        </w:rPr>
        <w:t>Final</w:t>
      </w:r>
      <w:r w:rsidRPr="00CC1D40">
        <w:rPr>
          <w:rFonts w:ascii="Calibri" w:hAnsi="Calibri"/>
          <w:b/>
          <w:sz w:val="23"/>
          <w:szCs w:val="23"/>
        </w:rPr>
        <w:t xml:space="preserve"> – PICO Rotation 7, Week 1</w:t>
      </w:r>
    </w:p>
    <w:p w14:paraId="6A3BF8EE" w14:textId="77777777" w:rsidR="00CC1D40" w:rsidRPr="00CC1D40" w:rsidRDefault="00CC1D40">
      <w:pPr>
        <w:rPr>
          <w:rFonts w:ascii="Calibri" w:hAnsi="Calibri"/>
          <w:b/>
          <w:sz w:val="23"/>
          <w:szCs w:val="23"/>
        </w:rPr>
      </w:pPr>
      <w:r w:rsidRPr="00CC1D40">
        <w:rPr>
          <w:rFonts w:ascii="Calibri" w:hAnsi="Calibri"/>
          <w:b/>
          <w:sz w:val="23"/>
          <w:szCs w:val="23"/>
        </w:rPr>
        <w:t>Name: Emily Yeung</w:t>
      </w:r>
    </w:p>
    <w:p w14:paraId="19C9C1FE" w14:textId="77777777" w:rsidR="00CC1D40" w:rsidRPr="00CC1D40" w:rsidRDefault="00CC1D40">
      <w:pPr>
        <w:rPr>
          <w:rFonts w:ascii="Calibri" w:hAnsi="Calibri"/>
          <w:b/>
          <w:sz w:val="23"/>
          <w:szCs w:val="23"/>
        </w:rPr>
      </w:pPr>
    </w:p>
    <w:p w14:paraId="7ACBC247" w14:textId="75E9178C" w:rsidR="00F33578" w:rsidRPr="00CC1D40" w:rsidRDefault="00CC1D40">
      <w:pPr>
        <w:rPr>
          <w:rFonts w:ascii="Calibri" w:hAnsi="Calibri"/>
          <w:b/>
          <w:sz w:val="23"/>
          <w:szCs w:val="23"/>
          <w:u w:val="single"/>
        </w:rPr>
      </w:pPr>
      <w:r w:rsidRPr="00CC1D40">
        <w:rPr>
          <w:rFonts w:ascii="Calibri" w:hAnsi="Calibri"/>
          <w:b/>
          <w:sz w:val="23"/>
          <w:szCs w:val="23"/>
          <w:u w:val="single"/>
        </w:rPr>
        <w:t>Clinical &amp; PICO Question:</w:t>
      </w:r>
    </w:p>
    <w:sdt>
      <w:sdtPr>
        <w:rPr>
          <w:rFonts w:ascii="Calibri" w:hAnsi="Calibri"/>
          <w:sz w:val="23"/>
          <w:szCs w:val="23"/>
        </w:rPr>
        <w:tag w:val="goog_rdk_5"/>
        <w:id w:val="-1165544416"/>
      </w:sdtPr>
      <w:sdtEndPr/>
      <w:sdtContent>
        <w:p w14:paraId="38522D56" w14:textId="77777777" w:rsidR="00CC1D40" w:rsidRPr="00CC1D40" w:rsidRDefault="00CC1D40">
          <w:pPr>
            <w:rPr>
              <w:rFonts w:ascii="Calibri" w:hAnsi="Calibri"/>
              <w:sz w:val="23"/>
              <w:szCs w:val="23"/>
            </w:rPr>
          </w:pPr>
          <w:proofErr w:type="gramStart"/>
          <w:r w:rsidRPr="00CC1D40">
            <w:rPr>
              <w:rFonts w:ascii="Calibri" w:hAnsi="Calibri"/>
              <w:sz w:val="23"/>
              <w:szCs w:val="23"/>
            </w:rPr>
            <w:t>82 year old</w:t>
          </w:r>
          <w:proofErr w:type="gramEnd"/>
          <w:r w:rsidRPr="00CC1D40">
            <w:rPr>
              <w:rFonts w:ascii="Calibri" w:hAnsi="Calibri"/>
              <w:sz w:val="23"/>
              <w:szCs w:val="23"/>
            </w:rPr>
            <w:t xml:space="preserve"> female with </w:t>
          </w:r>
          <w:proofErr w:type="spellStart"/>
          <w:r w:rsidRPr="00CC1D40">
            <w:rPr>
              <w:rFonts w:ascii="Calibri" w:hAnsi="Calibri"/>
              <w:sz w:val="23"/>
              <w:szCs w:val="23"/>
            </w:rPr>
            <w:t>PMHx</w:t>
          </w:r>
          <w:proofErr w:type="spellEnd"/>
          <w:r w:rsidRPr="00CC1D40">
            <w:rPr>
              <w:rFonts w:ascii="Calibri" w:hAnsi="Calibri"/>
              <w:sz w:val="23"/>
              <w:szCs w:val="23"/>
            </w:rPr>
            <w:t xml:space="preserve"> of HTN, HLD, osteoporosis admitted to the floor s/p fall on left hip. She was started on bisphosphonates years ago (doesn’t recall when) but wants to know if there is a recommended amount of time in which bisphosphonates have been found to be useful without having significant side effects.</w:t>
          </w:r>
        </w:p>
        <w:p w14:paraId="43A20718" w14:textId="77777777" w:rsidR="00CC1D40" w:rsidRPr="00CC1D40" w:rsidRDefault="00CC1D40">
          <w:pPr>
            <w:rPr>
              <w:rFonts w:ascii="Calibri" w:hAnsi="Calibri"/>
              <w:sz w:val="23"/>
              <w:szCs w:val="23"/>
            </w:rPr>
          </w:pPr>
        </w:p>
        <w:sdt>
          <w:sdtPr>
            <w:rPr>
              <w:rFonts w:ascii="Calibri" w:hAnsi="Calibri"/>
              <w:sz w:val="23"/>
              <w:szCs w:val="23"/>
            </w:rPr>
            <w:tag w:val="goog_rdk_8"/>
            <w:id w:val="2128045462"/>
          </w:sdtPr>
          <w:sdtEndPr/>
          <w:sdtContent>
            <w:p w14:paraId="39F70F2B" w14:textId="4D4C88EB" w:rsidR="00CC1D40" w:rsidRPr="00CC1D40" w:rsidRDefault="00CC1D40" w:rsidP="00CC1D40">
              <w:pPr>
                <w:pBdr>
                  <w:top w:val="nil"/>
                  <w:left w:val="nil"/>
                  <w:bottom w:val="nil"/>
                  <w:right w:val="nil"/>
                  <w:between w:val="nil"/>
                </w:pBdr>
                <w:rPr>
                  <w:rFonts w:ascii="Calibri" w:hAnsi="Calibri"/>
                  <w:sz w:val="23"/>
                  <w:szCs w:val="23"/>
                </w:rPr>
              </w:pPr>
              <w:r w:rsidRPr="00CC1D40">
                <w:rPr>
                  <w:rFonts w:ascii="Calibri" w:hAnsi="Calibri"/>
                  <w:sz w:val="23"/>
                  <w:szCs w:val="23"/>
                </w:rPr>
                <w:t xml:space="preserve">What is the optimal duration of bisphosphonate use for osteoporosis before </w:t>
              </w:r>
              <w:r w:rsidR="00C00A18">
                <w:rPr>
                  <w:rFonts w:ascii="Calibri" w:hAnsi="Calibri"/>
                  <w:sz w:val="23"/>
                  <w:szCs w:val="23"/>
                </w:rPr>
                <w:t>possibly experiencing</w:t>
              </w:r>
              <w:r w:rsidR="00F70B77">
                <w:rPr>
                  <w:rFonts w:ascii="Calibri" w:hAnsi="Calibri"/>
                  <w:sz w:val="23"/>
                  <w:szCs w:val="23"/>
                </w:rPr>
                <w:t xml:space="preserve"> </w:t>
              </w:r>
              <w:r w:rsidR="00BF12CB">
                <w:rPr>
                  <w:rFonts w:ascii="Calibri" w:hAnsi="Calibri"/>
                  <w:sz w:val="23"/>
                  <w:szCs w:val="23"/>
                </w:rPr>
                <w:t xml:space="preserve">significant side effects such as atypical femoral fracture, </w:t>
              </w:r>
              <w:proofErr w:type="spellStart"/>
              <w:r w:rsidR="00F70B77" w:rsidRPr="002B15D1">
                <w:rPr>
                  <w:rFonts w:ascii="Calibri" w:hAnsi="Calibri" w:hint="eastAsia"/>
                  <w:sz w:val="23"/>
                  <w:szCs w:val="23"/>
                </w:rPr>
                <w:t>subtrochanteric</w:t>
              </w:r>
              <w:proofErr w:type="spellEnd"/>
              <w:r w:rsidR="00F70B77" w:rsidRPr="002B15D1">
                <w:rPr>
                  <w:rFonts w:ascii="Calibri" w:hAnsi="Calibri" w:hint="eastAsia"/>
                  <w:sz w:val="23"/>
                  <w:szCs w:val="23"/>
                </w:rPr>
                <w:t>/femoral shaft fractures</w:t>
              </w:r>
              <w:r w:rsidR="00F70B77">
                <w:rPr>
                  <w:rFonts w:ascii="Calibri" w:hAnsi="Calibri"/>
                  <w:sz w:val="23"/>
                  <w:szCs w:val="23"/>
                </w:rPr>
                <w:t xml:space="preserve"> or osteonecrosis of the jaw?</w:t>
              </w:r>
            </w:p>
          </w:sdtContent>
        </w:sdt>
        <w:p w14:paraId="560DAA3A" w14:textId="77777777" w:rsidR="00CC1D40" w:rsidRPr="00CC1D40" w:rsidRDefault="00CD5C4B">
          <w:pPr>
            <w:rPr>
              <w:rFonts w:ascii="Calibri" w:hAnsi="Calibri"/>
              <w:sz w:val="23"/>
              <w:szCs w:val="23"/>
            </w:rPr>
          </w:pPr>
        </w:p>
      </w:sdtContent>
    </w:sdt>
    <w:p w14:paraId="65486974" w14:textId="77777777" w:rsidR="00CC1D40" w:rsidRDefault="00CC1D40">
      <w:pPr>
        <w:rPr>
          <w:rFonts w:ascii="Calibri" w:hAnsi="Calibri"/>
          <w:b/>
          <w:sz w:val="23"/>
          <w:szCs w:val="23"/>
          <w:u w:val="single"/>
        </w:rPr>
      </w:pPr>
      <w:r w:rsidRPr="00CC1D40">
        <w:rPr>
          <w:rFonts w:ascii="Calibri" w:hAnsi="Calibri"/>
          <w:b/>
          <w:sz w:val="23"/>
          <w:szCs w:val="23"/>
          <w:u w:val="single"/>
        </w:rPr>
        <w:t>PICO Search Elements:</w:t>
      </w:r>
    </w:p>
    <w:p w14:paraId="487E68E4" w14:textId="77777777" w:rsidR="00853A05" w:rsidRPr="00CC1D40" w:rsidRDefault="00853A05">
      <w:pPr>
        <w:rPr>
          <w:rFonts w:ascii="Calibri" w:hAnsi="Calibri"/>
          <w:b/>
          <w:sz w:val="23"/>
          <w:szCs w:val="23"/>
          <w:u w:val="single"/>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CC1D40" w:rsidRPr="00CC1D40" w14:paraId="6955D810" w14:textId="77777777" w:rsidTr="00CD7995">
        <w:tc>
          <w:tcPr>
            <w:tcW w:w="2337" w:type="dxa"/>
          </w:tcPr>
          <w:sdt>
            <w:sdtPr>
              <w:rPr>
                <w:rFonts w:ascii="Calibri" w:hAnsi="Calibri"/>
                <w:sz w:val="23"/>
                <w:szCs w:val="23"/>
              </w:rPr>
              <w:tag w:val="goog_rdk_18"/>
              <w:id w:val="1889529719"/>
            </w:sdtPr>
            <w:sdtEndPr/>
            <w:sdtContent>
              <w:p w14:paraId="2602870C" w14:textId="77777777" w:rsidR="00CC1D40" w:rsidRPr="00CC1D40" w:rsidRDefault="00CC1D40" w:rsidP="00CD7995">
                <w:pPr>
                  <w:rPr>
                    <w:rFonts w:ascii="Calibri" w:hAnsi="Calibri"/>
                    <w:b/>
                    <w:sz w:val="23"/>
                    <w:szCs w:val="23"/>
                  </w:rPr>
                </w:pPr>
                <w:r w:rsidRPr="00CC1D40">
                  <w:rPr>
                    <w:rFonts w:ascii="Calibri" w:hAnsi="Calibri"/>
                    <w:b/>
                    <w:sz w:val="23"/>
                    <w:szCs w:val="23"/>
                  </w:rPr>
                  <w:t>P</w:t>
                </w:r>
              </w:p>
            </w:sdtContent>
          </w:sdt>
        </w:tc>
        <w:tc>
          <w:tcPr>
            <w:tcW w:w="2337" w:type="dxa"/>
          </w:tcPr>
          <w:sdt>
            <w:sdtPr>
              <w:rPr>
                <w:rFonts w:ascii="Calibri" w:hAnsi="Calibri"/>
                <w:sz w:val="23"/>
                <w:szCs w:val="23"/>
              </w:rPr>
              <w:tag w:val="goog_rdk_19"/>
              <w:id w:val="616182113"/>
            </w:sdtPr>
            <w:sdtEndPr/>
            <w:sdtContent>
              <w:p w14:paraId="4A038D28" w14:textId="77777777" w:rsidR="00CC1D40" w:rsidRPr="00CC1D40" w:rsidRDefault="00CC1D40" w:rsidP="00CD7995">
                <w:pPr>
                  <w:rPr>
                    <w:rFonts w:ascii="Calibri" w:hAnsi="Calibri"/>
                    <w:b/>
                    <w:sz w:val="23"/>
                    <w:szCs w:val="23"/>
                  </w:rPr>
                </w:pPr>
                <w:r w:rsidRPr="00CC1D40">
                  <w:rPr>
                    <w:rFonts w:ascii="Calibri" w:hAnsi="Calibri"/>
                    <w:b/>
                    <w:sz w:val="23"/>
                    <w:szCs w:val="23"/>
                  </w:rPr>
                  <w:t>I</w:t>
                </w:r>
              </w:p>
            </w:sdtContent>
          </w:sdt>
        </w:tc>
        <w:tc>
          <w:tcPr>
            <w:tcW w:w="2338" w:type="dxa"/>
          </w:tcPr>
          <w:sdt>
            <w:sdtPr>
              <w:rPr>
                <w:rFonts w:ascii="Calibri" w:hAnsi="Calibri"/>
                <w:sz w:val="23"/>
                <w:szCs w:val="23"/>
              </w:rPr>
              <w:tag w:val="goog_rdk_20"/>
              <w:id w:val="-1800146437"/>
            </w:sdtPr>
            <w:sdtEndPr/>
            <w:sdtContent>
              <w:p w14:paraId="054B2169" w14:textId="77777777" w:rsidR="00CC1D40" w:rsidRPr="00CC1D40" w:rsidRDefault="00CC1D40" w:rsidP="00CD7995">
                <w:pPr>
                  <w:rPr>
                    <w:rFonts w:ascii="Calibri" w:hAnsi="Calibri"/>
                    <w:b/>
                    <w:sz w:val="23"/>
                    <w:szCs w:val="23"/>
                  </w:rPr>
                </w:pPr>
                <w:r w:rsidRPr="00CC1D40">
                  <w:rPr>
                    <w:rFonts w:ascii="Calibri" w:hAnsi="Calibri"/>
                    <w:b/>
                    <w:sz w:val="23"/>
                    <w:szCs w:val="23"/>
                  </w:rPr>
                  <w:t>C</w:t>
                </w:r>
              </w:p>
            </w:sdtContent>
          </w:sdt>
        </w:tc>
        <w:tc>
          <w:tcPr>
            <w:tcW w:w="2338" w:type="dxa"/>
          </w:tcPr>
          <w:sdt>
            <w:sdtPr>
              <w:rPr>
                <w:rFonts w:ascii="Calibri" w:hAnsi="Calibri"/>
                <w:sz w:val="23"/>
                <w:szCs w:val="23"/>
              </w:rPr>
              <w:tag w:val="goog_rdk_21"/>
              <w:id w:val="-1593465917"/>
            </w:sdtPr>
            <w:sdtEndPr/>
            <w:sdtContent>
              <w:p w14:paraId="2E4D5F82" w14:textId="77777777" w:rsidR="00CC1D40" w:rsidRPr="00CC1D40" w:rsidRDefault="00CC1D40" w:rsidP="00CD7995">
                <w:pPr>
                  <w:rPr>
                    <w:rFonts w:ascii="Calibri" w:hAnsi="Calibri"/>
                    <w:b/>
                    <w:sz w:val="23"/>
                    <w:szCs w:val="23"/>
                  </w:rPr>
                </w:pPr>
                <w:r w:rsidRPr="00CC1D40">
                  <w:rPr>
                    <w:rFonts w:ascii="Calibri" w:hAnsi="Calibri"/>
                    <w:b/>
                    <w:sz w:val="23"/>
                    <w:szCs w:val="23"/>
                  </w:rPr>
                  <w:t>O</w:t>
                </w:r>
              </w:p>
            </w:sdtContent>
          </w:sdt>
        </w:tc>
      </w:tr>
      <w:tr w:rsidR="00CC1D40" w:rsidRPr="00CC1D40" w14:paraId="190F78BF" w14:textId="77777777" w:rsidTr="00CD7995">
        <w:trPr>
          <w:trHeight w:val="520"/>
        </w:trPr>
        <w:tc>
          <w:tcPr>
            <w:tcW w:w="2337" w:type="dxa"/>
          </w:tcPr>
          <w:sdt>
            <w:sdtPr>
              <w:rPr>
                <w:rFonts w:ascii="Calibri" w:hAnsi="Calibri"/>
                <w:sz w:val="23"/>
                <w:szCs w:val="23"/>
              </w:rPr>
              <w:tag w:val="goog_rdk_22"/>
              <w:id w:val="-812717433"/>
            </w:sdtPr>
            <w:sdtEndPr/>
            <w:sdtContent>
              <w:p w14:paraId="1D4ED5DA" w14:textId="77777777" w:rsidR="00CC1D40" w:rsidRPr="00CC1D40" w:rsidRDefault="00CC1D40" w:rsidP="00CD7995">
                <w:pPr>
                  <w:rPr>
                    <w:rFonts w:ascii="Calibri" w:hAnsi="Calibri"/>
                    <w:sz w:val="23"/>
                    <w:szCs w:val="23"/>
                  </w:rPr>
                </w:pPr>
                <w:r w:rsidRPr="00CC1D40">
                  <w:rPr>
                    <w:rFonts w:ascii="Calibri" w:hAnsi="Calibri"/>
                    <w:sz w:val="23"/>
                    <w:szCs w:val="23"/>
                  </w:rPr>
                  <w:t>Osteoporosis</w:t>
                </w:r>
              </w:p>
            </w:sdtContent>
          </w:sdt>
        </w:tc>
        <w:tc>
          <w:tcPr>
            <w:tcW w:w="2337" w:type="dxa"/>
          </w:tcPr>
          <w:sdt>
            <w:sdtPr>
              <w:rPr>
                <w:rFonts w:ascii="Calibri" w:hAnsi="Calibri"/>
                <w:sz w:val="23"/>
                <w:szCs w:val="23"/>
              </w:rPr>
              <w:tag w:val="goog_rdk_23"/>
              <w:id w:val="-1175647451"/>
            </w:sdtPr>
            <w:sdtEndPr/>
            <w:sdtContent>
              <w:p w14:paraId="746EBF38" w14:textId="77777777" w:rsidR="00CC1D40" w:rsidRPr="00CC1D40" w:rsidRDefault="00CC1D40" w:rsidP="00CD7995">
                <w:pPr>
                  <w:rPr>
                    <w:rFonts w:ascii="Calibri" w:hAnsi="Calibri"/>
                    <w:sz w:val="23"/>
                    <w:szCs w:val="23"/>
                  </w:rPr>
                </w:pPr>
                <w:r w:rsidRPr="00CC1D40">
                  <w:rPr>
                    <w:rFonts w:ascii="Calibri" w:hAnsi="Calibri"/>
                    <w:sz w:val="23"/>
                    <w:szCs w:val="23"/>
                  </w:rPr>
                  <w:t>Bisphosphonate use</w:t>
                </w:r>
              </w:p>
            </w:sdtContent>
          </w:sdt>
        </w:tc>
        <w:tc>
          <w:tcPr>
            <w:tcW w:w="2338" w:type="dxa"/>
          </w:tcPr>
          <w:sdt>
            <w:sdtPr>
              <w:rPr>
                <w:rFonts w:ascii="Calibri" w:hAnsi="Calibri"/>
                <w:sz w:val="23"/>
                <w:szCs w:val="23"/>
              </w:rPr>
              <w:tag w:val="goog_rdk_24"/>
              <w:id w:val="-624927027"/>
            </w:sdtPr>
            <w:sdtEndPr/>
            <w:sdtContent>
              <w:p w14:paraId="57AABBEE" w14:textId="77777777" w:rsidR="00CC1D40" w:rsidRPr="00CC1D40" w:rsidRDefault="00CC1D40" w:rsidP="00CD7995">
                <w:pPr>
                  <w:rPr>
                    <w:rFonts w:ascii="Calibri" w:hAnsi="Calibri"/>
                    <w:sz w:val="23"/>
                    <w:szCs w:val="23"/>
                  </w:rPr>
                </w:pPr>
                <w:r w:rsidRPr="00CC1D40">
                  <w:rPr>
                    <w:rFonts w:ascii="Calibri" w:hAnsi="Calibri"/>
                    <w:sz w:val="23"/>
                    <w:szCs w:val="23"/>
                  </w:rPr>
                  <w:t>Medication continuation vs. discontinuation</w:t>
                </w:r>
              </w:p>
            </w:sdtContent>
          </w:sdt>
        </w:tc>
        <w:tc>
          <w:tcPr>
            <w:tcW w:w="2338" w:type="dxa"/>
          </w:tcPr>
          <w:sdt>
            <w:sdtPr>
              <w:rPr>
                <w:rFonts w:ascii="Calibri" w:hAnsi="Calibri"/>
                <w:sz w:val="23"/>
                <w:szCs w:val="23"/>
              </w:rPr>
              <w:tag w:val="goog_rdk_25"/>
              <w:id w:val="712615251"/>
            </w:sdtPr>
            <w:sdtEndPr/>
            <w:sdtContent>
              <w:p w14:paraId="4BF88B94" w14:textId="77777777" w:rsidR="00CC1D40" w:rsidRPr="00CC1D40" w:rsidRDefault="00CC1D40" w:rsidP="00CD7995">
                <w:pPr>
                  <w:rPr>
                    <w:rFonts w:ascii="Calibri" w:hAnsi="Calibri"/>
                    <w:sz w:val="23"/>
                    <w:szCs w:val="23"/>
                  </w:rPr>
                </w:pPr>
                <w:r w:rsidRPr="00CC1D40">
                  <w:rPr>
                    <w:rFonts w:ascii="Calibri" w:hAnsi="Calibri"/>
                    <w:sz w:val="23"/>
                    <w:szCs w:val="23"/>
                  </w:rPr>
                  <w:t>Optimal duration</w:t>
                </w:r>
              </w:p>
            </w:sdtContent>
          </w:sdt>
        </w:tc>
      </w:tr>
      <w:tr w:rsidR="00CC1D40" w:rsidRPr="00CC1D40" w14:paraId="24528A15" w14:textId="77777777" w:rsidTr="00CD7995">
        <w:tc>
          <w:tcPr>
            <w:tcW w:w="2337" w:type="dxa"/>
          </w:tcPr>
          <w:sdt>
            <w:sdtPr>
              <w:rPr>
                <w:rFonts w:ascii="Calibri" w:hAnsi="Calibri"/>
                <w:sz w:val="23"/>
                <w:szCs w:val="23"/>
              </w:rPr>
              <w:tag w:val="goog_rdk_26"/>
              <w:id w:val="-927738178"/>
            </w:sdtPr>
            <w:sdtEndPr/>
            <w:sdtContent>
              <w:p w14:paraId="0197F1E9" w14:textId="77777777" w:rsidR="00CC1D40" w:rsidRPr="00CC1D40" w:rsidRDefault="00CC1D40" w:rsidP="00CD7995">
                <w:pPr>
                  <w:rPr>
                    <w:rFonts w:ascii="Calibri" w:hAnsi="Calibri"/>
                    <w:sz w:val="23"/>
                    <w:szCs w:val="23"/>
                  </w:rPr>
                </w:pPr>
                <w:r w:rsidRPr="00CC1D40">
                  <w:rPr>
                    <w:rFonts w:ascii="Calibri" w:hAnsi="Calibri"/>
                    <w:sz w:val="23"/>
                    <w:szCs w:val="23"/>
                  </w:rPr>
                  <w:t>Post-menopausal women</w:t>
                </w:r>
              </w:p>
            </w:sdtContent>
          </w:sdt>
        </w:tc>
        <w:tc>
          <w:tcPr>
            <w:tcW w:w="2337" w:type="dxa"/>
          </w:tcPr>
          <w:sdt>
            <w:sdtPr>
              <w:rPr>
                <w:rFonts w:ascii="Calibri" w:hAnsi="Calibri"/>
                <w:sz w:val="23"/>
                <w:szCs w:val="23"/>
              </w:rPr>
              <w:tag w:val="goog_rdk_27"/>
              <w:id w:val="-1894802444"/>
            </w:sdtPr>
            <w:sdtEndPr/>
            <w:sdtContent>
              <w:p w14:paraId="3D2825CD" w14:textId="77777777" w:rsidR="00CC1D40" w:rsidRPr="00CC1D40" w:rsidRDefault="00CC1D40" w:rsidP="00CD7995">
                <w:pPr>
                  <w:rPr>
                    <w:rFonts w:ascii="Calibri" w:hAnsi="Calibri"/>
                    <w:sz w:val="23"/>
                    <w:szCs w:val="23"/>
                  </w:rPr>
                </w:pPr>
                <w:r w:rsidRPr="00CC1D40">
                  <w:rPr>
                    <w:rFonts w:ascii="Calibri" w:hAnsi="Calibri"/>
                    <w:sz w:val="23"/>
                    <w:szCs w:val="23"/>
                  </w:rPr>
                  <w:t>Bisphosphonate therapy</w:t>
                </w:r>
              </w:p>
            </w:sdtContent>
          </w:sdt>
        </w:tc>
        <w:tc>
          <w:tcPr>
            <w:tcW w:w="2338" w:type="dxa"/>
          </w:tcPr>
          <w:sdt>
            <w:sdtPr>
              <w:rPr>
                <w:rFonts w:ascii="Calibri" w:hAnsi="Calibri"/>
                <w:sz w:val="23"/>
                <w:szCs w:val="23"/>
              </w:rPr>
              <w:tag w:val="goog_rdk_28"/>
              <w:id w:val="810300967"/>
            </w:sdtPr>
            <w:sdtEndPr/>
            <w:sdtContent>
              <w:sdt>
                <w:sdtPr>
                  <w:rPr>
                    <w:rFonts w:ascii="Calibri" w:hAnsi="Calibri"/>
                    <w:sz w:val="23"/>
                    <w:szCs w:val="23"/>
                  </w:rPr>
                  <w:tag w:val="goog_rdk_28"/>
                  <w:id w:val="-1978829576"/>
                </w:sdtPr>
                <w:sdtEndPr/>
                <w:sdtContent>
                  <w:p w14:paraId="483EFF1E" w14:textId="77777777" w:rsidR="00CC1D40" w:rsidRPr="00CC1D40" w:rsidRDefault="00CC1D40" w:rsidP="00CD7995">
                    <w:pPr>
                      <w:rPr>
                        <w:rFonts w:ascii="Calibri" w:hAnsi="Calibri"/>
                        <w:sz w:val="23"/>
                        <w:szCs w:val="23"/>
                      </w:rPr>
                    </w:pPr>
                    <w:r w:rsidRPr="00CC1D40">
                      <w:rPr>
                        <w:rFonts w:ascii="Calibri" w:hAnsi="Calibri"/>
                        <w:sz w:val="23"/>
                        <w:szCs w:val="23"/>
                      </w:rPr>
                      <w:t>Discontinued bisphosphonate use</w:t>
                    </w:r>
                  </w:p>
                </w:sdtContent>
              </w:sdt>
              <w:p w14:paraId="33CDF871" w14:textId="77777777" w:rsidR="00CC1D40" w:rsidRPr="00CC1D40" w:rsidRDefault="00CD5C4B" w:rsidP="00CD7995">
                <w:pPr>
                  <w:rPr>
                    <w:rFonts w:ascii="Calibri" w:hAnsi="Calibri"/>
                    <w:sz w:val="23"/>
                    <w:szCs w:val="23"/>
                  </w:rPr>
                </w:pPr>
              </w:p>
            </w:sdtContent>
          </w:sdt>
        </w:tc>
        <w:tc>
          <w:tcPr>
            <w:tcW w:w="2338" w:type="dxa"/>
          </w:tcPr>
          <w:sdt>
            <w:sdtPr>
              <w:rPr>
                <w:rFonts w:ascii="Calibri" w:hAnsi="Calibri"/>
                <w:sz w:val="23"/>
                <w:szCs w:val="23"/>
              </w:rPr>
              <w:tag w:val="goog_rdk_29"/>
              <w:id w:val="-979994432"/>
            </w:sdtPr>
            <w:sdtEndPr/>
            <w:sdtContent>
              <w:p w14:paraId="7FC0D905" w14:textId="77777777" w:rsidR="00CC1D40" w:rsidRPr="00CC1D40" w:rsidRDefault="00CC1D40" w:rsidP="00CD7995">
                <w:pPr>
                  <w:rPr>
                    <w:rFonts w:ascii="Calibri" w:hAnsi="Calibri"/>
                    <w:sz w:val="23"/>
                    <w:szCs w:val="23"/>
                  </w:rPr>
                </w:pPr>
                <w:r w:rsidRPr="00CC1D40">
                  <w:rPr>
                    <w:rFonts w:ascii="Calibri" w:hAnsi="Calibri"/>
                    <w:sz w:val="23"/>
                    <w:szCs w:val="23"/>
                  </w:rPr>
                  <w:t>Benefits of long term bisphosphonate use</w:t>
                </w:r>
              </w:p>
            </w:sdtContent>
          </w:sdt>
        </w:tc>
      </w:tr>
      <w:tr w:rsidR="00CC1D40" w:rsidRPr="00CC1D40" w14:paraId="6DF445A9" w14:textId="77777777" w:rsidTr="00CD7995">
        <w:tc>
          <w:tcPr>
            <w:tcW w:w="2337" w:type="dxa"/>
          </w:tcPr>
          <w:sdt>
            <w:sdtPr>
              <w:rPr>
                <w:rFonts w:ascii="Calibri" w:hAnsi="Calibri"/>
                <w:sz w:val="23"/>
                <w:szCs w:val="23"/>
              </w:rPr>
              <w:tag w:val="goog_rdk_30"/>
              <w:id w:val="-1287659957"/>
            </w:sdtPr>
            <w:sdtEndPr/>
            <w:sdtContent>
              <w:p w14:paraId="0D880573" w14:textId="77777777" w:rsidR="00CC1D40" w:rsidRPr="00CC1D40" w:rsidRDefault="00CD5C4B" w:rsidP="00CD7995">
                <w:pPr>
                  <w:rPr>
                    <w:rFonts w:ascii="Calibri" w:hAnsi="Calibri"/>
                    <w:sz w:val="23"/>
                    <w:szCs w:val="23"/>
                  </w:rPr>
                </w:pPr>
              </w:p>
            </w:sdtContent>
          </w:sdt>
        </w:tc>
        <w:tc>
          <w:tcPr>
            <w:tcW w:w="2337" w:type="dxa"/>
          </w:tcPr>
          <w:p w14:paraId="3645BAA2" w14:textId="77777777" w:rsidR="00CC1D40" w:rsidRPr="00CC1D40" w:rsidRDefault="00CC1D40" w:rsidP="00CD7995">
            <w:pPr>
              <w:rPr>
                <w:rFonts w:ascii="Calibri" w:hAnsi="Calibri"/>
                <w:sz w:val="23"/>
                <w:szCs w:val="23"/>
              </w:rPr>
            </w:pPr>
          </w:p>
        </w:tc>
        <w:tc>
          <w:tcPr>
            <w:tcW w:w="2338" w:type="dxa"/>
          </w:tcPr>
          <w:sdt>
            <w:sdtPr>
              <w:rPr>
                <w:rFonts w:ascii="Calibri" w:hAnsi="Calibri"/>
                <w:sz w:val="23"/>
                <w:szCs w:val="23"/>
              </w:rPr>
              <w:tag w:val="goog_rdk_32"/>
              <w:id w:val="-308474037"/>
            </w:sdtPr>
            <w:sdtEndPr/>
            <w:sdtContent>
              <w:p w14:paraId="2C15B8FC" w14:textId="1283A83D" w:rsidR="00CC1D40" w:rsidRPr="00CC1D40" w:rsidRDefault="00173A36" w:rsidP="00173A36">
                <w:pPr>
                  <w:rPr>
                    <w:rFonts w:ascii="Calibri" w:hAnsi="Calibri"/>
                    <w:sz w:val="23"/>
                    <w:szCs w:val="23"/>
                  </w:rPr>
                </w:pPr>
                <w:r>
                  <w:rPr>
                    <w:rFonts w:ascii="Calibri" w:hAnsi="Calibri"/>
                    <w:sz w:val="23"/>
                    <w:szCs w:val="23"/>
                  </w:rPr>
                  <w:t>Drug holiday</w:t>
                </w:r>
              </w:p>
            </w:sdtContent>
          </w:sdt>
        </w:tc>
        <w:tc>
          <w:tcPr>
            <w:tcW w:w="2338" w:type="dxa"/>
          </w:tcPr>
          <w:sdt>
            <w:sdtPr>
              <w:rPr>
                <w:rFonts w:ascii="Calibri" w:hAnsi="Calibri"/>
                <w:sz w:val="23"/>
                <w:szCs w:val="23"/>
              </w:rPr>
              <w:tag w:val="goog_rdk_33"/>
              <w:id w:val="147726321"/>
            </w:sdtPr>
            <w:sdtEndPr/>
            <w:sdtContent>
              <w:p w14:paraId="5866771C" w14:textId="5A3FDE49" w:rsidR="00CC1D40" w:rsidRPr="00CC1D40" w:rsidRDefault="00F70B77" w:rsidP="00F70B77">
                <w:pPr>
                  <w:rPr>
                    <w:rFonts w:ascii="Calibri" w:hAnsi="Calibri"/>
                    <w:sz w:val="23"/>
                    <w:szCs w:val="23"/>
                  </w:rPr>
                </w:pPr>
                <w:r>
                  <w:rPr>
                    <w:rFonts w:ascii="Calibri" w:hAnsi="Calibri"/>
                    <w:sz w:val="23"/>
                    <w:szCs w:val="23"/>
                  </w:rPr>
                  <w:t>Risk of atypical femoral fracture</w:t>
                </w:r>
              </w:p>
            </w:sdtContent>
          </w:sdt>
        </w:tc>
      </w:tr>
      <w:tr w:rsidR="00CC1D40" w:rsidRPr="00CC1D40" w14:paraId="7C813276" w14:textId="77777777" w:rsidTr="00CD7995">
        <w:trPr>
          <w:trHeight w:val="740"/>
        </w:trPr>
        <w:tc>
          <w:tcPr>
            <w:tcW w:w="2337" w:type="dxa"/>
          </w:tcPr>
          <w:sdt>
            <w:sdtPr>
              <w:rPr>
                <w:rFonts w:ascii="Calibri" w:hAnsi="Calibri"/>
                <w:sz w:val="23"/>
                <w:szCs w:val="23"/>
              </w:rPr>
              <w:tag w:val="goog_rdk_34"/>
              <w:id w:val="-1351570106"/>
            </w:sdtPr>
            <w:sdtEndPr/>
            <w:sdtContent>
              <w:p w14:paraId="4F215217" w14:textId="77777777" w:rsidR="00CC1D40" w:rsidRPr="00CC1D40" w:rsidRDefault="00CD5C4B" w:rsidP="00CD7995">
                <w:pPr>
                  <w:rPr>
                    <w:rFonts w:ascii="Calibri" w:hAnsi="Calibri"/>
                    <w:sz w:val="23"/>
                    <w:szCs w:val="23"/>
                  </w:rPr>
                </w:pPr>
              </w:p>
            </w:sdtContent>
          </w:sdt>
        </w:tc>
        <w:tc>
          <w:tcPr>
            <w:tcW w:w="2337" w:type="dxa"/>
          </w:tcPr>
          <w:sdt>
            <w:sdtPr>
              <w:rPr>
                <w:rFonts w:ascii="Calibri" w:hAnsi="Calibri"/>
                <w:sz w:val="23"/>
                <w:szCs w:val="23"/>
              </w:rPr>
              <w:tag w:val="goog_rdk_35"/>
              <w:id w:val="-1262224461"/>
            </w:sdtPr>
            <w:sdtEndPr/>
            <w:sdtContent>
              <w:p w14:paraId="4C571332" w14:textId="77777777" w:rsidR="00CC1D40" w:rsidRPr="00CC1D40" w:rsidRDefault="00CD5C4B" w:rsidP="00CD7995">
                <w:pPr>
                  <w:rPr>
                    <w:rFonts w:ascii="Calibri" w:hAnsi="Calibri"/>
                    <w:sz w:val="23"/>
                    <w:szCs w:val="23"/>
                  </w:rPr>
                </w:pPr>
              </w:p>
            </w:sdtContent>
          </w:sdt>
        </w:tc>
        <w:tc>
          <w:tcPr>
            <w:tcW w:w="2338" w:type="dxa"/>
          </w:tcPr>
          <w:sdt>
            <w:sdtPr>
              <w:rPr>
                <w:rFonts w:ascii="Calibri" w:hAnsi="Calibri"/>
                <w:sz w:val="23"/>
                <w:szCs w:val="23"/>
              </w:rPr>
              <w:tag w:val="goog_rdk_36"/>
              <w:id w:val="1820917003"/>
            </w:sdtPr>
            <w:sdtEndPr/>
            <w:sdtContent>
              <w:p w14:paraId="43885302" w14:textId="77777777" w:rsidR="00CC1D40" w:rsidRPr="00CC1D40" w:rsidRDefault="00CD5C4B" w:rsidP="00CD7995">
                <w:pPr>
                  <w:rPr>
                    <w:rFonts w:ascii="Calibri" w:hAnsi="Calibri"/>
                    <w:sz w:val="23"/>
                    <w:szCs w:val="23"/>
                  </w:rPr>
                </w:pPr>
              </w:p>
            </w:sdtContent>
          </w:sdt>
        </w:tc>
        <w:tc>
          <w:tcPr>
            <w:tcW w:w="2338" w:type="dxa"/>
          </w:tcPr>
          <w:sdt>
            <w:sdtPr>
              <w:rPr>
                <w:rFonts w:ascii="Calibri" w:hAnsi="Calibri"/>
                <w:sz w:val="23"/>
                <w:szCs w:val="23"/>
              </w:rPr>
              <w:tag w:val="goog_rdk_37"/>
              <w:id w:val="61065678"/>
            </w:sdtPr>
            <w:sdtEndPr/>
            <w:sdtContent>
              <w:p w14:paraId="5FE55881" w14:textId="1C7B2639" w:rsidR="00CC1D40" w:rsidRPr="00CC1D40" w:rsidRDefault="00F70B77" w:rsidP="00F70B77">
                <w:pPr>
                  <w:rPr>
                    <w:rFonts w:ascii="Calibri" w:hAnsi="Calibri"/>
                    <w:sz w:val="23"/>
                    <w:szCs w:val="23"/>
                  </w:rPr>
                </w:pPr>
                <w:r>
                  <w:rPr>
                    <w:rFonts w:ascii="Calibri" w:hAnsi="Calibri"/>
                    <w:sz w:val="23"/>
                    <w:szCs w:val="23"/>
                  </w:rPr>
                  <w:t>Risk of osteonecrosis of the jaw</w:t>
                </w:r>
              </w:p>
            </w:sdtContent>
          </w:sdt>
        </w:tc>
      </w:tr>
      <w:tr w:rsidR="00F70B77" w:rsidRPr="00CC1D40" w14:paraId="5D35021C" w14:textId="77777777" w:rsidTr="00F70B77">
        <w:trPr>
          <w:trHeight w:val="740"/>
        </w:trPr>
        <w:tc>
          <w:tcPr>
            <w:tcW w:w="2337" w:type="dxa"/>
            <w:tcBorders>
              <w:top w:val="single" w:sz="4" w:space="0" w:color="000000"/>
              <w:left w:val="single" w:sz="4" w:space="0" w:color="000000"/>
              <w:bottom w:val="single" w:sz="4" w:space="0" w:color="000000"/>
              <w:right w:val="single" w:sz="4" w:space="0" w:color="000000"/>
            </w:tcBorders>
          </w:tcPr>
          <w:sdt>
            <w:sdtPr>
              <w:rPr>
                <w:rFonts w:ascii="Calibri" w:hAnsi="Calibri"/>
                <w:sz w:val="23"/>
                <w:szCs w:val="23"/>
              </w:rPr>
              <w:tag w:val="goog_rdk_34"/>
              <w:id w:val="-275867907"/>
            </w:sdtPr>
            <w:sdtEndPr/>
            <w:sdtContent>
              <w:p w14:paraId="35446B08" w14:textId="77777777" w:rsidR="00F70B77" w:rsidRPr="00CC1D40" w:rsidRDefault="00CD5C4B" w:rsidP="00EE4645">
                <w:pPr>
                  <w:rPr>
                    <w:rFonts w:ascii="Calibri" w:hAnsi="Calibri"/>
                    <w:sz w:val="23"/>
                    <w:szCs w:val="23"/>
                  </w:rPr>
                </w:pPr>
              </w:p>
            </w:sdtContent>
          </w:sdt>
        </w:tc>
        <w:tc>
          <w:tcPr>
            <w:tcW w:w="2337" w:type="dxa"/>
            <w:tcBorders>
              <w:top w:val="single" w:sz="4" w:space="0" w:color="000000"/>
              <w:left w:val="single" w:sz="4" w:space="0" w:color="000000"/>
              <w:bottom w:val="single" w:sz="4" w:space="0" w:color="000000"/>
              <w:right w:val="single" w:sz="4" w:space="0" w:color="000000"/>
            </w:tcBorders>
          </w:tcPr>
          <w:sdt>
            <w:sdtPr>
              <w:rPr>
                <w:rFonts w:ascii="Calibri" w:hAnsi="Calibri"/>
                <w:sz w:val="23"/>
                <w:szCs w:val="23"/>
              </w:rPr>
              <w:tag w:val="goog_rdk_35"/>
              <w:id w:val="-1171404678"/>
            </w:sdtPr>
            <w:sdtEndPr/>
            <w:sdtContent>
              <w:p w14:paraId="1CCAD57E" w14:textId="77777777" w:rsidR="00F70B77" w:rsidRPr="00CC1D40" w:rsidRDefault="00CD5C4B" w:rsidP="00EE4645">
                <w:pPr>
                  <w:rPr>
                    <w:rFonts w:ascii="Calibri" w:hAnsi="Calibri"/>
                    <w:sz w:val="23"/>
                    <w:szCs w:val="23"/>
                  </w:rPr>
                </w:pPr>
              </w:p>
            </w:sdtContent>
          </w:sdt>
        </w:tc>
        <w:tc>
          <w:tcPr>
            <w:tcW w:w="2338" w:type="dxa"/>
            <w:tcBorders>
              <w:top w:val="single" w:sz="4" w:space="0" w:color="000000"/>
              <w:left w:val="single" w:sz="4" w:space="0" w:color="000000"/>
              <w:bottom w:val="single" w:sz="4" w:space="0" w:color="000000"/>
              <w:right w:val="single" w:sz="4" w:space="0" w:color="000000"/>
            </w:tcBorders>
          </w:tcPr>
          <w:sdt>
            <w:sdtPr>
              <w:rPr>
                <w:rFonts w:ascii="Calibri" w:hAnsi="Calibri"/>
                <w:sz w:val="23"/>
                <w:szCs w:val="23"/>
              </w:rPr>
              <w:tag w:val="goog_rdk_36"/>
              <w:id w:val="1499772117"/>
            </w:sdtPr>
            <w:sdtEndPr/>
            <w:sdtContent>
              <w:p w14:paraId="2C6D1678" w14:textId="77777777" w:rsidR="00F70B77" w:rsidRPr="00CC1D40" w:rsidRDefault="00CD5C4B" w:rsidP="00EE4645">
                <w:pPr>
                  <w:rPr>
                    <w:rFonts w:ascii="Calibri" w:hAnsi="Calibri"/>
                    <w:sz w:val="23"/>
                    <w:szCs w:val="23"/>
                  </w:rPr>
                </w:pPr>
              </w:p>
            </w:sdtContent>
          </w:sdt>
        </w:tc>
        <w:tc>
          <w:tcPr>
            <w:tcW w:w="2338" w:type="dxa"/>
            <w:tcBorders>
              <w:top w:val="single" w:sz="4" w:space="0" w:color="000000"/>
              <w:left w:val="single" w:sz="4" w:space="0" w:color="000000"/>
              <w:bottom w:val="single" w:sz="4" w:space="0" w:color="000000"/>
              <w:right w:val="single" w:sz="4" w:space="0" w:color="000000"/>
            </w:tcBorders>
          </w:tcPr>
          <w:sdt>
            <w:sdtPr>
              <w:rPr>
                <w:rFonts w:ascii="Calibri" w:hAnsi="Calibri"/>
                <w:sz w:val="23"/>
                <w:szCs w:val="23"/>
              </w:rPr>
              <w:tag w:val="goog_rdk_37"/>
              <w:id w:val="-1157073006"/>
            </w:sdtPr>
            <w:sdtEndPr/>
            <w:sdtContent>
              <w:p w14:paraId="28F2436C" w14:textId="77777777" w:rsidR="00F70B77" w:rsidRDefault="00F70B77" w:rsidP="00F70B77">
                <w:pPr>
                  <w:rPr>
                    <w:rFonts w:ascii="Calibri" w:hAnsi="Calibri"/>
                    <w:sz w:val="23"/>
                    <w:szCs w:val="23"/>
                  </w:rPr>
                </w:pPr>
                <w:r>
                  <w:rPr>
                    <w:rFonts w:ascii="Calibri" w:hAnsi="Calibri"/>
                    <w:sz w:val="23"/>
                    <w:szCs w:val="23"/>
                  </w:rPr>
                  <w:t xml:space="preserve">Risk of </w:t>
                </w:r>
                <w:proofErr w:type="spellStart"/>
                <w:r w:rsidRPr="002B15D1">
                  <w:rPr>
                    <w:rFonts w:ascii="Calibri" w:hAnsi="Calibri" w:hint="eastAsia"/>
                    <w:sz w:val="23"/>
                    <w:szCs w:val="23"/>
                  </w:rPr>
                  <w:t>subtrochanteric</w:t>
                </w:r>
                <w:proofErr w:type="spellEnd"/>
                <w:r w:rsidRPr="002B15D1">
                  <w:rPr>
                    <w:rFonts w:ascii="Calibri" w:hAnsi="Calibri" w:hint="eastAsia"/>
                    <w:sz w:val="23"/>
                    <w:szCs w:val="23"/>
                  </w:rPr>
                  <w:t>/</w:t>
                </w:r>
              </w:p>
              <w:p w14:paraId="7003CF4F" w14:textId="1DBC7BB1" w:rsidR="00F70B77" w:rsidRPr="00CC1D40" w:rsidRDefault="00F70B77" w:rsidP="00F70B77">
                <w:pPr>
                  <w:rPr>
                    <w:rFonts w:ascii="Calibri" w:hAnsi="Calibri"/>
                    <w:sz w:val="23"/>
                    <w:szCs w:val="23"/>
                  </w:rPr>
                </w:pPr>
                <w:proofErr w:type="gramStart"/>
                <w:r>
                  <w:rPr>
                    <w:rFonts w:ascii="Calibri" w:hAnsi="Calibri" w:hint="eastAsia"/>
                    <w:sz w:val="23"/>
                    <w:szCs w:val="23"/>
                  </w:rPr>
                  <w:t>femoral</w:t>
                </w:r>
                <w:proofErr w:type="gramEnd"/>
                <w:r>
                  <w:rPr>
                    <w:rFonts w:ascii="Calibri" w:hAnsi="Calibri" w:hint="eastAsia"/>
                    <w:sz w:val="23"/>
                    <w:szCs w:val="23"/>
                  </w:rPr>
                  <w:t xml:space="preserve"> shaft fracture</w:t>
                </w:r>
              </w:p>
            </w:sdtContent>
          </w:sdt>
        </w:tc>
      </w:tr>
    </w:tbl>
    <w:p w14:paraId="0379E4C3" w14:textId="77777777" w:rsidR="00CC1D40" w:rsidRPr="000D24D7" w:rsidRDefault="00CC1D40">
      <w:pPr>
        <w:rPr>
          <w:rFonts w:ascii="Calibri" w:hAnsi="Calibri"/>
          <w:sz w:val="23"/>
          <w:szCs w:val="23"/>
        </w:rPr>
      </w:pPr>
    </w:p>
    <w:p w14:paraId="7649C51C" w14:textId="77777777" w:rsidR="000D24D7" w:rsidRDefault="00CC1D40">
      <w:pPr>
        <w:rPr>
          <w:rFonts w:ascii="Calibri" w:hAnsi="Calibri"/>
          <w:b/>
          <w:sz w:val="23"/>
          <w:szCs w:val="23"/>
          <w:u w:val="single"/>
        </w:rPr>
      </w:pPr>
      <w:r w:rsidRPr="000D24D7">
        <w:rPr>
          <w:rFonts w:ascii="Calibri" w:hAnsi="Calibri"/>
          <w:b/>
          <w:sz w:val="23"/>
          <w:szCs w:val="23"/>
          <w:u w:val="single"/>
        </w:rPr>
        <w:t>Search Strategy:</w:t>
      </w:r>
    </w:p>
    <w:p w14:paraId="74CBC62B" w14:textId="77777777" w:rsidR="00853A05" w:rsidRDefault="00853A05">
      <w:pPr>
        <w:rPr>
          <w:rFonts w:ascii="Calibri" w:hAnsi="Calibri"/>
          <w:b/>
          <w:sz w:val="23"/>
          <w:szCs w:val="23"/>
          <w:u w:val="single"/>
        </w:rPr>
      </w:pPr>
    </w:p>
    <w:tbl>
      <w:tblPr>
        <w:tblStyle w:val="TableGrid"/>
        <w:tblW w:w="9576" w:type="dxa"/>
        <w:tblLayout w:type="fixed"/>
        <w:tblLook w:val="04A0" w:firstRow="1" w:lastRow="0" w:firstColumn="1" w:lastColumn="0" w:noHBand="0" w:noVBand="1"/>
      </w:tblPr>
      <w:tblGrid>
        <w:gridCol w:w="2394"/>
        <w:gridCol w:w="2394"/>
        <w:gridCol w:w="2394"/>
        <w:gridCol w:w="2394"/>
      </w:tblGrid>
      <w:tr w:rsidR="000D24D7" w:rsidRPr="000D24D7" w14:paraId="7115D668" w14:textId="77777777" w:rsidTr="00476551">
        <w:tc>
          <w:tcPr>
            <w:tcW w:w="2394" w:type="dxa"/>
          </w:tcPr>
          <w:sdt>
            <w:sdtPr>
              <w:rPr>
                <w:rFonts w:ascii="Calibri" w:hAnsi="Calibri"/>
                <w:sz w:val="23"/>
                <w:szCs w:val="23"/>
              </w:rPr>
              <w:tag w:val="goog_rdk_40"/>
              <w:id w:val="498629102"/>
            </w:sdtPr>
            <w:sdtEndPr/>
            <w:sdtContent>
              <w:p w14:paraId="071BACD3" w14:textId="77777777" w:rsidR="000D24D7" w:rsidRPr="000D24D7" w:rsidRDefault="000D24D7" w:rsidP="00CD7995">
                <w:pPr>
                  <w:rPr>
                    <w:rFonts w:ascii="Calibri" w:hAnsi="Calibri"/>
                    <w:b/>
                    <w:sz w:val="23"/>
                    <w:szCs w:val="23"/>
                  </w:rPr>
                </w:pPr>
                <w:r w:rsidRPr="000D24D7">
                  <w:rPr>
                    <w:rFonts w:ascii="Calibri" w:hAnsi="Calibri"/>
                    <w:b/>
                    <w:sz w:val="23"/>
                    <w:szCs w:val="23"/>
                  </w:rPr>
                  <w:t>Database</w:t>
                </w:r>
              </w:p>
            </w:sdtContent>
          </w:sdt>
        </w:tc>
        <w:tc>
          <w:tcPr>
            <w:tcW w:w="2394" w:type="dxa"/>
          </w:tcPr>
          <w:sdt>
            <w:sdtPr>
              <w:rPr>
                <w:rFonts w:ascii="Calibri" w:hAnsi="Calibri"/>
                <w:sz w:val="23"/>
                <w:szCs w:val="23"/>
              </w:rPr>
              <w:tag w:val="goog_rdk_41"/>
              <w:id w:val="-274246803"/>
            </w:sdtPr>
            <w:sdtEndPr/>
            <w:sdtContent>
              <w:p w14:paraId="4BC1D2A0" w14:textId="77777777" w:rsidR="000D24D7" w:rsidRPr="000D24D7" w:rsidRDefault="000D24D7" w:rsidP="00CD7995">
                <w:pPr>
                  <w:rPr>
                    <w:rFonts w:ascii="Calibri" w:hAnsi="Calibri"/>
                    <w:b/>
                    <w:sz w:val="23"/>
                    <w:szCs w:val="23"/>
                  </w:rPr>
                </w:pPr>
                <w:r w:rsidRPr="000D24D7">
                  <w:rPr>
                    <w:rFonts w:ascii="Calibri" w:hAnsi="Calibri"/>
                    <w:b/>
                    <w:sz w:val="23"/>
                    <w:szCs w:val="23"/>
                  </w:rPr>
                  <w:t>Terms Used</w:t>
                </w:r>
              </w:p>
            </w:sdtContent>
          </w:sdt>
        </w:tc>
        <w:tc>
          <w:tcPr>
            <w:tcW w:w="2394" w:type="dxa"/>
          </w:tcPr>
          <w:sdt>
            <w:sdtPr>
              <w:rPr>
                <w:rFonts w:ascii="Calibri" w:hAnsi="Calibri"/>
                <w:sz w:val="23"/>
                <w:szCs w:val="23"/>
              </w:rPr>
              <w:tag w:val="goog_rdk_42"/>
              <w:id w:val="-969282426"/>
            </w:sdtPr>
            <w:sdtEndPr/>
            <w:sdtContent>
              <w:p w14:paraId="65BA11E6" w14:textId="77777777" w:rsidR="000D24D7" w:rsidRPr="000D24D7" w:rsidRDefault="000D24D7" w:rsidP="00CD7995">
                <w:pPr>
                  <w:rPr>
                    <w:rFonts w:ascii="Calibri" w:hAnsi="Calibri"/>
                    <w:b/>
                    <w:sz w:val="23"/>
                    <w:szCs w:val="23"/>
                  </w:rPr>
                </w:pPr>
                <w:r w:rsidRPr="000D24D7">
                  <w:rPr>
                    <w:rFonts w:ascii="Calibri" w:hAnsi="Calibri"/>
                    <w:b/>
                    <w:sz w:val="23"/>
                    <w:szCs w:val="23"/>
                  </w:rPr>
                  <w:t>Filters Applied</w:t>
                </w:r>
              </w:p>
            </w:sdtContent>
          </w:sdt>
        </w:tc>
        <w:tc>
          <w:tcPr>
            <w:tcW w:w="2394" w:type="dxa"/>
          </w:tcPr>
          <w:sdt>
            <w:sdtPr>
              <w:rPr>
                <w:rFonts w:ascii="Calibri" w:hAnsi="Calibri"/>
                <w:sz w:val="23"/>
                <w:szCs w:val="23"/>
              </w:rPr>
              <w:tag w:val="goog_rdk_43"/>
              <w:id w:val="1030529582"/>
            </w:sdtPr>
            <w:sdtEndPr/>
            <w:sdtContent>
              <w:p w14:paraId="2E4D933A" w14:textId="77777777" w:rsidR="000D24D7" w:rsidRPr="000D24D7" w:rsidRDefault="000D24D7" w:rsidP="00CD7995">
                <w:pPr>
                  <w:rPr>
                    <w:rFonts w:ascii="Calibri" w:hAnsi="Calibri"/>
                    <w:b/>
                    <w:sz w:val="23"/>
                    <w:szCs w:val="23"/>
                  </w:rPr>
                </w:pPr>
                <w:r w:rsidRPr="000D24D7">
                  <w:rPr>
                    <w:rFonts w:ascii="Calibri" w:hAnsi="Calibri"/>
                    <w:b/>
                    <w:sz w:val="23"/>
                    <w:szCs w:val="23"/>
                  </w:rPr>
                  <w:t xml:space="preserve"># </w:t>
                </w:r>
                <w:proofErr w:type="gramStart"/>
                <w:r w:rsidRPr="000D24D7">
                  <w:rPr>
                    <w:rFonts w:ascii="Calibri" w:hAnsi="Calibri"/>
                    <w:b/>
                    <w:sz w:val="23"/>
                    <w:szCs w:val="23"/>
                  </w:rPr>
                  <w:t>of</w:t>
                </w:r>
                <w:proofErr w:type="gramEnd"/>
                <w:r w:rsidRPr="000D24D7">
                  <w:rPr>
                    <w:rFonts w:ascii="Calibri" w:hAnsi="Calibri"/>
                    <w:b/>
                    <w:sz w:val="23"/>
                    <w:szCs w:val="23"/>
                  </w:rPr>
                  <w:t xml:space="preserve"> Articles</w:t>
                </w:r>
              </w:p>
            </w:sdtContent>
          </w:sdt>
        </w:tc>
      </w:tr>
      <w:tr w:rsidR="000D24D7" w:rsidRPr="000D24D7" w14:paraId="68AAD524" w14:textId="77777777" w:rsidTr="00476551">
        <w:tc>
          <w:tcPr>
            <w:tcW w:w="2394" w:type="dxa"/>
          </w:tcPr>
          <w:sdt>
            <w:sdtPr>
              <w:rPr>
                <w:rFonts w:ascii="Calibri" w:hAnsi="Calibri"/>
                <w:sz w:val="23"/>
                <w:szCs w:val="23"/>
              </w:rPr>
              <w:tag w:val="goog_rdk_44"/>
              <w:id w:val="527367867"/>
            </w:sdtPr>
            <w:sdtEndPr/>
            <w:sdtContent>
              <w:p w14:paraId="6DCF58C7" w14:textId="77777777" w:rsidR="000D24D7" w:rsidRPr="000D24D7" w:rsidRDefault="000D24D7" w:rsidP="00CD7995">
                <w:pPr>
                  <w:rPr>
                    <w:rFonts w:ascii="Calibri" w:hAnsi="Calibri"/>
                    <w:sz w:val="23"/>
                    <w:szCs w:val="23"/>
                  </w:rPr>
                </w:pPr>
                <w:r w:rsidRPr="000D24D7">
                  <w:rPr>
                    <w:rFonts w:ascii="Calibri" w:hAnsi="Calibri"/>
                    <w:sz w:val="23"/>
                    <w:szCs w:val="23"/>
                  </w:rPr>
                  <w:t>PubMed</w:t>
                </w:r>
              </w:p>
            </w:sdtContent>
          </w:sdt>
        </w:tc>
        <w:tc>
          <w:tcPr>
            <w:tcW w:w="2394" w:type="dxa"/>
          </w:tcPr>
          <w:sdt>
            <w:sdtPr>
              <w:rPr>
                <w:rFonts w:ascii="Calibri" w:hAnsi="Calibri"/>
                <w:sz w:val="23"/>
                <w:szCs w:val="23"/>
              </w:rPr>
              <w:tag w:val="goog_rdk_45"/>
              <w:id w:val="-1191914222"/>
            </w:sdtPr>
            <w:sdtEndPr/>
            <w:sdtContent>
              <w:p w14:paraId="468DB404" w14:textId="77777777" w:rsidR="000D24D7" w:rsidRPr="000D24D7" w:rsidRDefault="000D24D7" w:rsidP="00CD7995">
                <w:pPr>
                  <w:rPr>
                    <w:rFonts w:ascii="Calibri" w:hAnsi="Calibri"/>
                    <w:sz w:val="23"/>
                    <w:szCs w:val="23"/>
                  </w:rPr>
                </w:pPr>
                <w:r w:rsidRPr="000D24D7">
                  <w:rPr>
                    <w:rFonts w:ascii="Calibri" w:hAnsi="Calibri"/>
                    <w:sz w:val="23"/>
                    <w:szCs w:val="23"/>
                  </w:rPr>
                  <w:t>Optimal duration of bisphosphonates for osteoporosis</w:t>
                </w:r>
              </w:p>
            </w:sdtContent>
          </w:sdt>
        </w:tc>
        <w:tc>
          <w:tcPr>
            <w:tcW w:w="2394" w:type="dxa"/>
          </w:tcPr>
          <w:sdt>
            <w:sdtPr>
              <w:rPr>
                <w:rFonts w:ascii="Calibri" w:hAnsi="Calibri"/>
                <w:sz w:val="23"/>
                <w:szCs w:val="23"/>
              </w:rPr>
              <w:tag w:val="goog_rdk_46"/>
              <w:id w:val="-1924787092"/>
            </w:sdtPr>
            <w:sdtEndPr/>
            <w:sdtContent>
              <w:p w14:paraId="453FE2AE" w14:textId="77777777" w:rsidR="000D24D7" w:rsidRPr="000D24D7" w:rsidRDefault="000D24D7" w:rsidP="00CD7995">
                <w:pPr>
                  <w:rPr>
                    <w:rFonts w:ascii="Calibri" w:hAnsi="Calibri"/>
                    <w:sz w:val="23"/>
                    <w:szCs w:val="23"/>
                  </w:rPr>
                </w:pPr>
                <w:r w:rsidRPr="000D24D7">
                  <w:rPr>
                    <w:rFonts w:ascii="Calibri" w:hAnsi="Calibri"/>
                    <w:sz w:val="23"/>
                    <w:szCs w:val="23"/>
                  </w:rPr>
                  <w:t>5 years, humans</w:t>
                </w:r>
              </w:p>
            </w:sdtContent>
          </w:sdt>
        </w:tc>
        <w:tc>
          <w:tcPr>
            <w:tcW w:w="2394" w:type="dxa"/>
          </w:tcPr>
          <w:sdt>
            <w:sdtPr>
              <w:rPr>
                <w:rFonts w:ascii="Calibri" w:hAnsi="Calibri"/>
                <w:sz w:val="23"/>
                <w:szCs w:val="23"/>
              </w:rPr>
              <w:tag w:val="goog_rdk_47"/>
              <w:id w:val="-940376589"/>
            </w:sdtPr>
            <w:sdtEndPr/>
            <w:sdtContent>
              <w:p w14:paraId="3EE81643" w14:textId="77777777" w:rsidR="000D24D7" w:rsidRPr="000D24D7" w:rsidRDefault="000D24D7" w:rsidP="00CD7995">
                <w:pPr>
                  <w:rPr>
                    <w:rFonts w:ascii="Calibri" w:hAnsi="Calibri"/>
                    <w:sz w:val="23"/>
                    <w:szCs w:val="23"/>
                  </w:rPr>
                </w:pPr>
                <w:r w:rsidRPr="000D24D7">
                  <w:rPr>
                    <w:rFonts w:ascii="Calibri" w:hAnsi="Calibri"/>
                    <w:sz w:val="23"/>
                    <w:szCs w:val="23"/>
                  </w:rPr>
                  <w:t>22</w:t>
                </w:r>
              </w:p>
            </w:sdtContent>
          </w:sdt>
        </w:tc>
      </w:tr>
      <w:tr w:rsidR="000D24D7" w:rsidRPr="000D24D7" w14:paraId="63B211C2" w14:textId="77777777" w:rsidTr="00476551">
        <w:tc>
          <w:tcPr>
            <w:tcW w:w="2394" w:type="dxa"/>
          </w:tcPr>
          <w:sdt>
            <w:sdtPr>
              <w:rPr>
                <w:rFonts w:ascii="Calibri" w:hAnsi="Calibri"/>
                <w:sz w:val="23"/>
                <w:szCs w:val="23"/>
              </w:rPr>
              <w:tag w:val="goog_rdk_48"/>
              <w:id w:val="-1015230127"/>
            </w:sdtPr>
            <w:sdtEndPr/>
            <w:sdtContent>
              <w:p w14:paraId="7CBFA6E2" w14:textId="77777777" w:rsidR="000D24D7" w:rsidRPr="000D24D7" w:rsidRDefault="000D24D7" w:rsidP="00CD7995">
                <w:pPr>
                  <w:rPr>
                    <w:rFonts w:ascii="Calibri" w:hAnsi="Calibri"/>
                    <w:sz w:val="23"/>
                    <w:szCs w:val="23"/>
                  </w:rPr>
                </w:pPr>
                <w:r w:rsidRPr="000D24D7">
                  <w:rPr>
                    <w:rFonts w:ascii="Calibri" w:hAnsi="Calibri"/>
                    <w:sz w:val="23"/>
                    <w:szCs w:val="23"/>
                  </w:rPr>
                  <w:t>Cochrane Library</w:t>
                </w:r>
              </w:p>
            </w:sdtContent>
          </w:sdt>
        </w:tc>
        <w:tc>
          <w:tcPr>
            <w:tcW w:w="2394" w:type="dxa"/>
          </w:tcPr>
          <w:sdt>
            <w:sdtPr>
              <w:rPr>
                <w:rFonts w:ascii="Calibri" w:hAnsi="Calibri"/>
                <w:sz w:val="23"/>
                <w:szCs w:val="23"/>
              </w:rPr>
              <w:tag w:val="goog_rdk_45"/>
              <w:id w:val="-1410226568"/>
            </w:sdtPr>
            <w:sdtEndPr/>
            <w:sdtContent>
              <w:p w14:paraId="5F722004" w14:textId="77777777" w:rsidR="000D24D7" w:rsidRPr="000D24D7" w:rsidRDefault="000D24D7" w:rsidP="00CD7995">
                <w:pPr>
                  <w:rPr>
                    <w:rFonts w:ascii="Calibri" w:hAnsi="Calibri"/>
                    <w:sz w:val="23"/>
                    <w:szCs w:val="23"/>
                  </w:rPr>
                </w:pPr>
                <w:r w:rsidRPr="000D24D7">
                  <w:rPr>
                    <w:rFonts w:ascii="Calibri" w:hAnsi="Calibri"/>
                    <w:sz w:val="23"/>
                    <w:szCs w:val="23"/>
                  </w:rPr>
                  <w:t>Optimal duration of bisphosphonates for osteoporosis</w:t>
                </w:r>
              </w:p>
            </w:sdtContent>
          </w:sdt>
        </w:tc>
        <w:tc>
          <w:tcPr>
            <w:tcW w:w="2394" w:type="dxa"/>
          </w:tcPr>
          <w:sdt>
            <w:sdtPr>
              <w:rPr>
                <w:rFonts w:ascii="Calibri" w:hAnsi="Calibri"/>
                <w:sz w:val="23"/>
                <w:szCs w:val="23"/>
              </w:rPr>
              <w:tag w:val="goog_rdk_50"/>
              <w:id w:val="2136287887"/>
            </w:sdtPr>
            <w:sdtEndPr/>
            <w:sdtContent>
              <w:p w14:paraId="3843134B" w14:textId="77777777" w:rsidR="000D24D7" w:rsidRPr="000D24D7" w:rsidRDefault="000D24D7" w:rsidP="00CD7995">
                <w:pPr>
                  <w:rPr>
                    <w:rFonts w:ascii="Calibri" w:hAnsi="Calibri"/>
                    <w:sz w:val="23"/>
                    <w:szCs w:val="23"/>
                  </w:rPr>
                </w:pPr>
                <w:r w:rsidRPr="000D24D7">
                  <w:rPr>
                    <w:rFonts w:ascii="Calibri" w:hAnsi="Calibri"/>
                    <w:sz w:val="23"/>
                    <w:szCs w:val="23"/>
                  </w:rPr>
                  <w:t>-</w:t>
                </w:r>
              </w:p>
            </w:sdtContent>
          </w:sdt>
        </w:tc>
        <w:tc>
          <w:tcPr>
            <w:tcW w:w="2394" w:type="dxa"/>
          </w:tcPr>
          <w:sdt>
            <w:sdtPr>
              <w:rPr>
                <w:rFonts w:ascii="Calibri" w:hAnsi="Calibri"/>
                <w:sz w:val="23"/>
                <w:szCs w:val="23"/>
              </w:rPr>
              <w:tag w:val="goog_rdk_51"/>
              <w:id w:val="195056966"/>
            </w:sdtPr>
            <w:sdtEndPr/>
            <w:sdtContent>
              <w:p w14:paraId="0047F5EC" w14:textId="77777777" w:rsidR="000D24D7" w:rsidRPr="000D24D7" w:rsidRDefault="000D24D7" w:rsidP="00CD7995">
                <w:pPr>
                  <w:rPr>
                    <w:rFonts w:ascii="Calibri" w:hAnsi="Calibri"/>
                    <w:sz w:val="23"/>
                    <w:szCs w:val="23"/>
                  </w:rPr>
                </w:pPr>
                <w:r w:rsidRPr="000D24D7">
                  <w:rPr>
                    <w:rFonts w:ascii="Calibri" w:hAnsi="Calibri"/>
                    <w:sz w:val="23"/>
                    <w:szCs w:val="23"/>
                  </w:rPr>
                  <w:t>15</w:t>
                </w:r>
              </w:p>
            </w:sdtContent>
          </w:sdt>
        </w:tc>
      </w:tr>
      <w:tr w:rsidR="000D24D7" w:rsidRPr="000D24D7" w14:paraId="4C210E7D" w14:textId="77777777" w:rsidTr="00476551">
        <w:tc>
          <w:tcPr>
            <w:tcW w:w="2394" w:type="dxa"/>
          </w:tcPr>
          <w:sdt>
            <w:sdtPr>
              <w:rPr>
                <w:rFonts w:ascii="Calibri" w:hAnsi="Calibri"/>
                <w:sz w:val="23"/>
                <w:szCs w:val="23"/>
              </w:rPr>
              <w:tag w:val="goog_rdk_52"/>
              <w:id w:val="-1535957723"/>
            </w:sdtPr>
            <w:sdtEndPr/>
            <w:sdtContent>
              <w:p w14:paraId="41603411" w14:textId="77777777" w:rsidR="000D24D7" w:rsidRPr="000D24D7" w:rsidRDefault="000D24D7" w:rsidP="00CD7995">
                <w:pPr>
                  <w:rPr>
                    <w:rFonts w:ascii="Calibri" w:hAnsi="Calibri"/>
                    <w:sz w:val="23"/>
                    <w:szCs w:val="23"/>
                  </w:rPr>
                </w:pPr>
                <w:proofErr w:type="spellStart"/>
                <w:r w:rsidRPr="000D24D7">
                  <w:rPr>
                    <w:rFonts w:ascii="Calibri" w:hAnsi="Calibri"/>
                    <w:sz w:val="23"/>
                    <w:szCs w:val="23"/>
                  </w:rPr>
                  <w:t>ScienceDirect</w:t>
                </w:r>
                <w:proofErr w:type="spellEnd"/>
              </w:p>
            </w:sdtContent>
          </w:sdt>
        </w:tc>
        <w:tc>
          <w:tcPr>
            <w:tcW w:w="2394" w:type="dxa"/>
          </w:tcPr>
          <w:sdt>
            <w:sdtPr>
              <w:rPr>
                <w:rFonts w:ascii="Calibri" w:hAnsi="Calibri"/>
                <w:sz w:val="23"/>
                <w:szCs w:val="23"/>
              </w:rPr>
              <w:tag w:val="goog_rdk_45"/>
              <w:id w:val="1860613539"/>
            </w:sdtPr>
            <w:sdtEndPr/>
            <w:sdtContent>
              <w:p w14:paraId="22BA4A51" w14:textId="77777777" w:rsidR="000D24D7" w:rsidRPr="000D24D7" w:rsidRDefault="000D24D7" w:rsidP="00CD7995">
                <w:pPr>
                  <w:rPr>
                    <w:rFonts w:ascii="Calibri" w:hAnsi="Calibri"/>
                    <w:sz w:val="23"/>
                    <w:szCs w:val="23"/>
                  </w:rPr>
                </w:pPr>
                <w:r w:rsidRPr="000D24D7">
                  <w:rPr>
                    <w:rFonts w:ascii="Calibri" w:hAnsi="Calibri"/>
                    <w:sz w:val="23"/>
                    <w:szCs w:val="23"/>
                  </w:rPr>
                  <w:t>Optimal duration of bisphosphonates for osteoporosis</w:t>
                </w:r>
              </w:p>
            </w:sdtContent>
          </w:sdt>
        </w:tc>
        <w:tc>
          <w:tcPr>
            <w:tcW w:w="2394" w:type="dxa"/>
          </w:tcPr>
          <w:sdt>
            <w:sdtPr>
              <w:rPr>
                <w:rFonts w:ascii="Calibri" w:hAnsi="Calibri"/>
                <w:sz w:val="23"/>
                <w:szCs w:val="23"/>
              </w:rPr>
              <w:tag w:val="goog_rdk_54"/>
              <w:id w:val="-892346329"/>
            </w:sdtPr>
            <w:sdtEndPr/>
            <w:sdtContent>
              <w:p w14:paraId="5FC1CC9B" w14:textId="77777777" w:rsidR="000D24D7" w:rsidRPr="000D24D7" w:rsidRDefault="000D24D7" w:rsidP="00CD7995">
                <w:pPr>
                  <w:rPr>
                    <w:rFonts w:ascii="Calibri" w:hAnsi="Calibri"/>
                    <w:sz w:val="23"/>
                    <w:szCs w:val="23"/>
                  </w:rPr>
                </w:pPr>
                <w:r w:rsidRPr="000D24D7">
                  <w:rPr>
                    <w:rFonts w:ascii="Calibri" w:hAnsi="Calibri"/>
                    <w:sz w:val="23"/>
                    <w:szCs w:val="23"/>
                  </w:rPr>
                  <w:t>5 years, review articles</w:t>
                </w:r>
              </w:p>
            </w:sdtContent>
          </w:sdt>
        </w:tc>
        <w:tc>
          <w:tcPr>
            <w:tcW w:w="2394" w:type="dxa"/>
          </w:tcPr>
          <w:sdt>
            <w:sdtPr>
              <w:rPr>
                <w:rFonts w:ascii="Calibri" w:hAnsi="Calibri"/>
                <w:sz w:val="23"/>
                <w:szCs w:val="23"/>
              </w:rPr>
              <w:tag w:val="goog_rdk_55"/>
              <w:id w:val="-1490474067"/>
            </w:sdtPr>
            <w:sdtEndPr/>
            <w:sdtContent>
              <w:p w14:paraId="28D34594" w14:textId="77777777" w:rsidR="000D24D7" w:rsidRPr="000D24D7" w:rsidRDefault="000D24D7" w:rsidP="00CD7995">
                <w:pPr>
                  <w:rPr>
                    <w:rFonts w:ascii="Calibri" w:hAnsi="Calibri"/>
                    <w:sz w:val="23"/>
                    <w:szCs w:val="23"/>
                  </w:rPr>
                </w:pPr>
                <w:r w:rsidRPr="000D24D7">
                  <w:rPr>
                    <w:rFonts w:ascii="Calibri" w:hAnsi="Calibri"/>
                    <w:sz w:val="23"/>
                    <w:szCs w:val="23"/>
                  </w:rPr>
                  <w:t>169</w:t>
                </w:r>
              </w:p>
            </w:sdtContent>
          </w:sdt>
        </w:tc>
      </w:tr>
      <w:tr w:rsidR="00476551" w14:paraId="71A27B41" w14:textId="77777777" w:rsidTr="00476551">
        <w:tc>
          <w:tcPr>
            <w:tcW w:w="2394" w:type="dxa"/>
          </w:tcPr>
          <w:p w14:paraId="6BA672CE" w14:textId="47761F1F" w:rsidR="00476551" w:rsidRPr="00476551" w:rsidRDefault="00476551">
            <w:pPr>
              <w:rPr>
                <w:rFonts w:ascii="Calibri" w:hAnsi="Calibri"/>
                <w:sz w:val="23"/>
                <w:szCs w:val="23"/>
              </w:rPr>
            </w:pPr>
            <w:r w:rsidRPr="00476551">
              <w:rPr>
                <w:rFonts w:ascii="Calibri" w:hAnsi="Calibri"/>
                <w:sz w:val="23"/>
                <w:szCs w:val="23"/>
              </w:rPr>
              <w:t>Trip Database</w:t>
            </w:r>
          </w:p>
        </w:tc>
        <w:tc>
          <w:tcPr>
            <w:tcW w:w="2394" w:type="dxa"/>
          </w:tcPr>
          <w:sdt>
            <w:sdtPr>
              <w:rPr>
                <w:rFonts w:ascii="Calibri" w:hAnsi="Calibri"/>
                <w:sz w:val="23"/>
                <w:szCs w:val="23"/>
              </w:rPr>
              <w:tag w:val="goog_rdk_45"/>
              <w:id w:val="858386727"/>
            </w:sdtPr>
            <w:sdtEndPr/>
            <w:sdtContent>
              <w:p w14:paraId="6B8F2EA9" w14:textId="16727C4A" w:rsidR="00476551" w:rsidRPr="00476551" w:rsidRDefault="00476551">
                <w:pPr>
                  <w:rPr>
                    <w:sz w:val="23"/>
                    <w:szCs w:val="23"/>
                  </w:rPr>
                </w:pPr>
                <w:r w:rsidRPr="000D24D7">
                  <w:rPr>
                    <w:rFonts w:ascii="Calibri" w:hAnsi="Calibri"/>
                    <w:sz w:val="23"/>
                    <w:szCs w:val="23"/>
                  </w:rPr>
                  <w:t xml:space="preserve">Optimal duration of bisphosphonates for </w:t>
                </w:r>
                <w:r w:rsidRPr="000D24D7">
                  <w:rPr>
                    <w:rFonts w:ascii="Calibri" w:hAnsi="Calibri"/>
                    <w:sz w:val="23"/>
                    <w:szCs w:val="23"/>
                  </w:rPr>
                  <w:lastRenderedPageBreak/>
                  <w:t>osteoporosis</w:t>
                </w:r>
              </w:p>
            </w:sdtContent>
          </w:sdt>
        </w:tc>
        <w:tc>
          <w:tcPr>
            <w:tcW w:w="2394" w:type="dxa"/>
          </w:tcPr>
          <w:p w14:paraId="6EFE03E6" w14:textId="4116D649" w:rsidR="00476551" w:rsidRPr="00476551" w:rsidRDefault="00476551">
            <w:pPr>
              <w:rPr>
                <w:rFonts w:ascii="Calibri" w:hAnsi="Calibri"/>
                <w:sz w:val="23"/>
                <w:szCs w:val="23"/>
              </w:rPr>
            </w:pPr>
            <w:r w:rsidRPr="00476551">
              <w:rPr>
                <w:rFonts w:ascii="Calibri" w:hAnsi="Calibri"/>
                <w:sz w:val="23"/>
                <w:szCs w:val="23"/>
              </w:rPr>
              <w:lastRenderedPageBreak/>
              <w:t>-</w:t>
            </w:r>
          </w:p>
        </w:tc>
        <w:tc>
          <w:tcPr>
            <w:tcW w:w="2394" w:type="dxa"/>
          </w:tcPr>
          <w:p w14:paraId="21E88E29" w14:textId="2427793A" w:rsidR="00476551" w:rsidRPr="00476551" w:rsidRDefault="00476551">
            <w:pPr>
              <w:rPr>
                <w:rFonts w:ascii="Calibri" w:hAnsi="Calibri"/>
                <w:sz w:val="23"/>
                <w:szCs w:val="23"/>
              </w:rPr>
            </w:pPr>
            <w:r w:rsidRPr="00476551">
              <w:rPr>
                <w:rFonts w:ascii="Calibri" w:hAnsi="Calibri"/>
                <w:sz w:val="23"/>
                <w:szCs w:val="23"/>
              </w:rPr>
              <w:t>245</w:t>
            </w:r>
          </w:p>
        </w:tc>
      </w:tr>
    </w:tbl>
    <w:p w14:paraId="2B35B571" w14:textId="77777777" w:rsidR="000D24D7" w:rsidRPr="000D24D7" w:rsidRDefault="000D24D7">
      <w:pPr>
        <w:rPr>
          <w:rFonts w:ascii="Calibri" w:hAnsi="Calibri"/>
          <w:b/>
          <w:sz w:val="23"/>
          <w:szCs w:val="23"/>
          <w:u w:val="single"/>
        </w:rPr>
      </w:pPr>
    </w:p>
    <w:sdt>
      <w:sdtPr>
        <w:rPr>
          <w:rFonts w:ascii="Calibri" w:hAnsi="Calibri"/>
          <w:color w:val="FF0000"/>
          <w:sz w:val="23"/>
          <w:szCs w:val="23"/>
        </w:rPr>
        <w:tag w:val="goog_rdk_57"/>
        <w:id w:val="-1663848866"/>
      </w:sdtPr>
      <w:sdtEndPr>
        <w:rPr>
          <w:color w:val="auto"/>
        </w:rPr>
      </w:sdtEndPr>
      <w:sdtContent>
        <w:p w14:paraId="7A84C477" w14:textId="7E622BC2" w:rsidR="00CF4B32" w:rsidRDefault="000D24D7" w:rsidP="000D24D7">
          <w:pPr>
            <w:rPr>
              <w:rFonts w:ascii="Calibri" w:hAnsi="Calibri"/>
              <w:sz w:val="23"/>
              <w:szCs w:val="23"/>
            </w:rPr>
          </w:pPr>
          <w:r w:rsidRPr="000D24D7">
            <w:rPr>
              <w:rFonts w:ascii="Calibri" w:hAnsi="Calibri"/>
              <w:sz w:val="23"/>
              <w:szCs w:val="23"/>
            </w:rPr>
            <w:t>After choosing my search term of “</w:t>
          </w:r>
          <w:sdt>
            <w:sdtPr>
              <w:rPr>
                <w:rFonts w:ascii="Calibri" w:hAnsi="Calibri"/>
                <w:sz w:val="23"/>
                <w:szCs w:val="23"/>
              </w:rPr>
              <w:tag w:val="goog_rdk_45"/>
              <w:id w:val="421997366"/>
            </w:sdtPr>
            <w:sdtEndPr/>
            <w:sdtContent>
              <w:sdt>
                <w:sdtPr>
                  <w:rPr>
                    <w:rFonts w:ascii="Calibri" w:hAnsi="Calibri"/>
                    <w:sz w:val="23"/>
                    <w:szCs w:val="23"/>
                  </w:rPr>
                  <w:tag w:val="goog_rdk_45"/>
                  <w:id w:val="791099598"/>
                </w:sdtPr>
                <w:sdtEndPr/>
                <w:sdtContent>
                  <w:r w:rsidRPr="000D24D7">
                    <w:rPr>
                      <w:rFonts w:ascii="Calibri" w:hAnsi="Calibri"/>
                      <w:sz w:val="23"/>
                      <w:szCs w:val="23"/>
                    </w:rPr>
                    <w:t>optimal duration of bisphosphonates for osteoporosis</w:t>
                  </w:r>
                </w:sdtContent>
              </w:sdt>
              <w:r w:rsidRPr="000D24D7">
                <w:rPr>
                  <w:rFonts w:ascii="Calibri" w:hAnsi="Calibri"/>
                  <w:sz w:val="23"/>
                  <w:szCs w:val="23"/>
                </w:rPr>
                <w:t>” and applying the filters that I wanted, I narrowed down my search by looking into articles that were of the most recent and of the highest levels of evidence. Thus, I included 2 very recent systematic reviews from 2019 and another systematic review from 2016 that evaluated whether there is an optimal time period for the use of bisphosphonates</w:t>
              </w:r>
              <w:r w:rsidR="00FB5B07">
                <w:rPr>
                  <w:rFonts w:ascii="Calibri" w:hAnsi="Calibri"/>
                  <w:sz w:val="23"/>
                  <w:szCs w:val="23"/>
                </w:rPr>
                <w:t xml:space="preserve"> and explain whether there are adverse effects in </w:t>
              </w:r>
              <w:r w:rsidR="00381728">
                <w:rPr>
                  <w:rFonts w:ascii="Calibri" w:hAnsi="Calibri"/>
                  <w:sz w:val="23"/>
                  <w:szCs w:val="23"/>
                </w:rPr>
                <w:t>long-term</w:t>
              </w:r>
              <w:r w:rsidR="00FB5B07">
                <w:rPr>
                  <w:rFonts w:ascii="Calibri" w:hAnsi="Calibri"/>
                  <w:sz w:val="23"/>
                  <w:szCs w:val="23"/>
                </w:rPr>
                <w:t xml:space="preserve"> use in addition to any rebound effects</w:t>
              </w:r>
              <w:r w:rsidRPr="000D24D7">
                <w:rPr>
                  <w:rFonts w:ascii="Calibri" w:hAnsi="Calibri"/>
                  <w:sz w:val="23"/>
                  <w:szCs w:val="23"/>
                </w:rPr>
                <w:t>.</w:t>
              </w:r>
            </w:sdtContent>
          </w:sdt>
          <w:r w:rsidRPr="000D24D7">
            <w:rPr>
              <w:rFonts w:ascii="Calibri" w:hAnsi="Calibri"/>
              <w:sz w:val="23"/>
              <w:szCs w:val="23"/>
            </w:rPr>
            <w:t xml:space="preserve"> </w:t>
          </w:r>
          <w:r w:rsidR="006D522A">
            <w:rPr>
              <w:rFonts w:ascii="Calibri" w:hAnsi="Calibri"/>
              <w:sz w:val="23"/>
              <w:szCs w:val="23"/>
            </w:rPr>
            <w:t>Two</w:t>
          </w:r>
          <w:r w:rsidR="00F53872">
            <w:rPr>
              <w:rFonts w:ascii="Calibri" w:hAnsi="Calibri"/>
              <w:sz w:val="23"/>
              <w:szCs w:val="23"/>
            </w:rPr>
            <w:t xml:space="preserve"> of the articles </w:t>
          </w:r>
          <w:proofErr w:type="gramStart"/>
          <w:r w:rsidR="00F53872">
            <w:rPr>
              <w:rFonts w:ascii="Calibri" w:hAnsi="Calibri"/>
              <w:sz w:val="23"/>
              <w:szCs w:val="23"/>
            </w:rPr>
            <w:t>was</w:t>
          </w:r>
          <w:proofErr w:type="gramEnd"/>
          <w:r w:rsidR="00F53872">
            <w:rPr>
              <w:rFonts w:ascii="Calibri" w:hAnsi="Calibri"/>
              <w:sz w:val="23"/>
              <w:szCs w:val="23"/>
            </w:rPr>
            <w:t xml:space="preserve"> conducted in New York, which is a plus.</w:t>
          </w:r>
          <w:r w:rsidR="000D4A18">
            <w:rPr>
              <w:rFonts w:ascii="Calibri" w:hAnsi="Calibri"/>
              <w:sz w:val="23"/>
              <w:szCs w:val="23"/>
            </w:rPr>
            <w:t xml:space="preserve"> </w:t>
          </w:r>
          <w:r w:rsidR="00CF4B32">
            <w:rPr>
              <w:rFonts w:ascii="Calibri" w:hAnsi="Calibri"/>
              <w:sz w:val="23"/>
              <w:szCs w:val="23"/>
            </w:rPr>
            <w:t xml:space="preserve">I also decided to include a set of clinical guidelines set forth by the </w:t>
          </w:r>
          <w:r w:rsidR="00CF4B32" w:rsidRPr="00CF4B32">
            <w:rPr>
              <w:rFonts w:ascii="Calibri" w:hAnsi="Calibri"/>
              <w:sz w:val="23"/>
              <w:szCs w:val="23"/>
            </w:rPr>
            <w:t>American Association of Clinical Endocrinologists and American College of Endocrinology</w:t>
          </w:r>
          <w:r w:rsidR="00CF4B32">
            <w:rPr>
              <w:rFonts w:ascii="Calibri" w:hAnsi="Calibri"/>
              <w:sz w:val="23"/>
              <w:szCs w:val="23"/>
            </w:rPr>
            <w:t xml:space="preserve"> to see if the conclusions drawn match what is recommended.</w:t>
          </w:r>
        </w:p>
        <w:p w14:paraId="787CA020" w14:textId="77777777" w:rsidR="00CF4B32" w:rsidRDefault="00CF4B32" w:rsidP="000D24D7">
          <w:pPr>
            <w:rPr>
              <w:rFonts w:ascii="Calibri" w:hAnsi="Calibri"/>
              <w:sz w:val="23"/>
              <w:szCs w:val="23"/>
            </w:rPr>
          </w:pPr>
        </w:p>
        <w:p w14:paraId="024E2F6E" w14:textId="5271F2CE" w:rsidR="000D24D7" w:rsidRPr="000D24D7" w:rsidRDefault="000D24D7" w:rsidP="000D24D7">
          <w:pPr>
            <w:rPr>
              <w:rFonts w:ascii="Calibri" w:hAnsi="Calibri"/>
              <w:sz w:val="23"/>
              <w:szCs w:val="23"/>
            </w:rPr>
          </w:pPr>
          <w:r w:rsidRPr="000D24D7">
            <w:rPr>
              <w:rFonts w:ascii="Calibri" w:hAnsi="Calibri"/>
              <w:sz w:val="23"/>
              <w:szCs w:val="23"/>
            </w:rPr>
            <w:t>Additionally, I was looking for inclusion of many studies within the systematic reviews and consistent primary or secondary outcomes throughout each of the articles as it makes it easier to analyze and formulate my clinical bottom line.</w:t>
          </w:r>
          <w:r>
            <w:rPr>
              <w:rFonts w:ascii="Calibri" w:hAnsi="Calibri"/>
              <w:sz w:val="23"/>
              <w:szCs w:val="23"/>
            </w:rPr>
            <w:t xml:space="preserve"> My articles also have a strong focus on evaluating osteoporosis in post-menopausal women as part of the patient demographics, which will help me form a stronger clinical bottom </w:t>
          </w:r>
          <w:r w:rsidR="008A2371">
            <w:rPr>
              <w:rFonts w:ascii="Calibri" w:hAnsi="Calibri"/>
              <w:sz w:val="23"/>
              <w:szCs w:val="23"/>
            </w:rPr>
            <w:t>line,</w:t>
          </w:r>
          <w:r>
            <w:rPr>
              <w:rFonts w:ascii="Calibri" w:hAnsi="Calibri"/>
              <w:sz w:val="23"/>
              <w:szCs w:val="23"/>
            </w:rPr>
            <w:t xml:space="preserve"> as the findings will be more relevant to my patient.</w:t>
          </w:r>
          <w:r w:rsidR="00950A59">
            <w:rPr>
              <w:rFonts w:ascii="Calibri" w:hAnsi="Calibri"/>
              <w:sz w:val="23"/>
              <w:szCs w:val="23"/>
            </w:rPr>
            <w:t xml:space="preserve"> </w:t>
          </w:r>
        </w:p>
      </w:sdtContent>
    </w:sdt>
    <w:p w14:paraId="63A20A88" w14:textId="77777777" w:rsidR="00CC1D40" w:rsidRPr="00853A05" w:rsidRDefault="00CC1D40">
      <w:pPr>
        <w:rPr>
          <w:rFonts w:ascii="Calibri" w:hAnsi="Calibri"/>
          <w:b/>
          <w:sz w:val="23"/>
          <w:szCs w:val="23"/>
          <w:u w:val="single"/>
        </w:rPr>
      </w:pPr>
    </w:p>
    <w:p w14:paraId="5A7AED7E" w14:textId="77777777" w:rsidR="00CC1D40" w:rsidRDefault="00CC1D40">
      <w:pPr>
        <w:rPr>
          <w:rFonts w:ascii="Calibri" w:hAnsi="Calibri"/>
          <w:b/>
          <w:sz w:val="23"/>
          <w:szCs w:val="23"/>
          <w:u w:val="single"/>
        </w:rPr>
      </w:pPr>
      <w:r w:rsidRPr="00853A05">
        <w:rPr>
          <w:rFonts w:ascii="Calibri" w:hAnsi="Calibri"/>
          <w:b/>
          <w:sz w:val="23"/>
          <w:szCs w:val="23"/>
          <w:u w:val="single"/>
        </w:rPr>
        <w:t>Articles Chosen:</w:t>
      </w:r>
    </w:p>
    <w:p w14:paraId="1321050F" w14:textId="77777777" w:rsidR="00853A05" w:rsidRPr="00853A05" w:rsidRDefault="00853A05">
      <w:pPr>
        <w:rPr>
          <w:rFonts w:ascii="Calibri" w:hAnsi="Calibri"/>
          <w:b/>
          <w:sz w:val="23"/>
          <w:szCs w:val="23"/>
          <w:u w:val="single"/>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8298"/>
      </w:tblGrid>
      <w:tr w:rsidR="00853A05" w:rsidRPr="00FC0DA1" w14:paraId="32D9349F" w14:textId="77777777" w:rsidTr="00CD7995">
        <w:tc>
          <w:tcPr>
            <w:tcW w:w="1278" w:type="dxa"/>
          </w:tcPr>
          <w:sdt>
            <w:sdtPr>
              <w:rPr>
                <w:rFonts w:ascii="Calibri" w:hAnsi="Calibri"/>
                <w:sz w:val="23"/>
                <w:szCs w:val="23"/>
              </w:rPr>
              <w:tag w:val="goog_rdk_61"/>
              <w:id w:val="-149908253"/>
            </w:sdtPr>
            <w:sdtEndPr/>
            <w:sdtContent>
              <w:p w14:paraId="1D1597A6" w14:textId="77777777" w:rsidR="00853A05" w:rsidRPr="00FC0DA1" w:rsidRDefault="00853A05" w:rsidP="00CD7995">
                <w:pPr>
                  <w:rPr>
                    <w:rFonts w:ascii="Calibri" w:hAnsi="Calibri"/>
                    <w:b/>
                    <w:sz w:val="23"/>
                    <w:szCs w:val="23"/>
                  </w:rPr>
                </w:pPr>
                <w:r w:rsidRPr="00FC0DA1">
                  <w:rPr>
                    <w:rFonts w:ascii="Calibri" w:hAnsi="Calibri"/>
                    <w:b/>
                    <w:sz w:val="23"/>
                    <w:szCs w:val="23"/>
                  </w:rPr>
                  <w:t>Citation</w:t>
                </w:r>
              </w:p>
            </w:sdtContent>
          </w:sdt>
        </w:tc>
        <w:tc>
          <w:tcPr>
            <w:tcW w:w="8298" w:type="dxa"/>
          </w:tcPr>
          <w:p w14:paraId="6067881B" w14:textId="45401504" w:rsidR="00853A05" w:rsidRPr="00FC0DA1" w:rsidRDefault="00FC0DA1" w:rsidP="00CD7995">
            <w:pPr>
              <w:pStyle w:val="Title"/>
              <w:shd w:val="clear" w:color="auto" w:fill="FFFFFF"/>
              <w:spacing w:before="0" w:beforeAutospacing="0" w:after="0" w:afterAutospacing="0"/>
              <w:rPr>
                <w:rFonts w:ascii="Calibri" w:hAnsi="Calibri" w:cs="Arial"/>
                <w:color w:val="000000"/>
                <w:sz w:val="23"/>
                <w:szCs w:val="23"/>
              </w:rPr>
            </w:pPr>
            <w:r>
              <w:rPr>
                <w:rFonts w:ascii="Calibri" w:hAnsi="Calibri"/>
                <w:sz w:val="23"/>
                <w:szCs w:val="23"/>
              </w:rPr>
              <w:t xml:space="preserve">1. </w:t>
            </w:r>
            <w:hyperlink r:id="rId6" w:history="1">
              <w:r w:rsidR="00853A05" w:rsidRPr="00FC0DA1">
                <w:rPr>
                  <w:rStyle w:val="Hyperlink"/>
                  <w:rFonts w:ascii="Calibri" w:hAnsi="Calibri" w:cs="Arial"/>
                  <w:b/>
                  <w:bCs/>
                  <w:color w:val="642A8F"/>
                  <w:sz w:val="23"/>
                  <w:szCs w:val="23"/>
                </w:rPr>
                <w:t>Long-Term</w:t>
              </w:r>
              <w:r w:rsidR="00853A05" w:rsidRPr="00FC0DA1">
                <w:rPr>
                  <w:rStyle w:val="Hyperlink"/>
                  <w:rFonts w:ascii="Calibri" w:hAnsi="Calibri" w:cs="Arial"/>
                  <w:color w:val="642A8F"/>
                  <w:sz w:val="23"/>
                  <w:szCs w:val="23"/>
                </w:rPr>
                <w:t> </w:t>
              </w:r>
              <w:r w:rsidR="00853A05" w:rsidRPr="00FC0DA1">
                <w:rPr>
                  <w:rStyle w:val="Hyperlink"/>
                  <w:rFonts w:ascii="Calibri" w:hAnsi="Calibri" w:cs="Arial"/>
                  <w:b/>
                  <w:bCs/>
                  <w:color w:val="642A8F"/>
                  <w:sz w:val="23"/>
                  <w:szCs w:val="23"/>
                </w:rPr>
                <w:t>Drug Therapy</w:t>
              </w:r>
              <w:r w:rsidR="00853A05" w:rsidRPr="00FC0DA1">
                <w:rPr>
                  <w:rStyle w:val="Hyperlink"/>
                  <w:rFonts w:ascii="Calibri" w:hAnsi="Calibri" w:cs="Arial"/>
                  <w:color w:val="642A8F"/>
                  <w:sz w:val="23"/>
                  <w:szCs w:val="23"/>
                </w:rPr>
                <w:t> and </w:t>
              </w:r>
              <w:r w:rsidR="00853A05" w:rsidRPr="00FC0DA1">
                <w:rPr>
                  <w:rStyle w:val="Hyperlink"/>
                  <w:rFonts w:ascii="Calibri" w:hAnsi="Calibri" w:cs="Arial"/>
                  <w:b/>
                  <w:bCs/>
                  <w:color w:val="642A8F"/>
                  <w:sz w:val="23"/>
                  <w:szCs w:val="23"/>
                </w:rPr>
                <w:t>Drug</w:t>
              </w:r>
              <w:r w:rsidR="00853A05" w:rsidRPr="00FC0DA1">
                <w:rPr>
                  <w:rStyle w:val="Hyperlink"/>
                  <w:rFonts w:ascii="Calibri" w:hAnsi="Calibri" w:cs="Arial"/>
                  <w:color w:val="642A8F"/>
                  <w:sz w:val="23"/>
                  <w:szCs w:val="23"/>
                </w:rPr>
                <w:t> Discontinuations and </w:t>
              </w:r>
              <w:r w:rsidR="00853A05" w:rsidRPr="00FC0DA1">
                <w:rPr>
                  <w:rStyle w:val="Hyperlink"/>
                  <w:rFonts w:ascii="Calibri" w:hAnsi="Calibri" w:cs="Arial"/>
                  <w:b/>
                  <w:bCs/>
                  <w:color w:val="642A8F"/>
                  <w:sz w:val="23"/>
                  <w:szCs w:val="23"/>
                </w:rPr>
                <w:t>Holidays</w:t>
              </w:r>
              <w:r w:rsidR="00853A05" w:rsidRPr="00FC0DA1">
                <w:rPr>
                  <w:rStyle w:val="Hyperlink"/>
                  <w:rFonts w:ascii="Calibri" w:hAnsi="Calibri" w:cs="Arial"/>
                  <w:color w:val="642A8F"/>
                  <w:sz w:val="23"/>
                  <w:szCs w:val="23"/>
                </w:rPr>
                <w:t> for </w:t>
              </w:r>
              <w:r w:rsidR="00853A05" w:rsidRPr="00FC0DA1">
                <w:rPr>
                  <w:rStyle w:val="Hyperlink"/>
                  <w:rFonts w:ascii="Calibri" w:hAnsi="Calibri" w:cs="Arial"/>
                  <w:b/>
                  <w:bCs/>
                  <w:color w:val="642A8F"/>
                  <w:sz w:val="23"/>
                  <w:szCs w:val="23"/>
                </w:rPr>
                <w:t>Osteoporosis</w:t>
              </w:r>
              <w:r w:rsidR="00853A05" w:rsidRPr="00FC0DA1">
                <w:rPr>
                  <w:rStyle w:val="Hyperlink"/>
                  <w:rFonts w:ascii="Calibri" w:hAnsi="Calibri" w:cs="Arial"/>
                  <w:color w:val="642A8F"/>
                  <w:sz w:val="23"/>
                  <w:szCs w:val="23"/>
                </w:rPr>
                <w:t> Fracture Prevention: A Systematic Review.</w:t>
              </w:r>
            </w:hyperlink>
          </w:p>
          <w:p w14:paraId="7EDD601D" w14:textId="77777777" w:rsidR="00853A05" w:rsidRPr="00FC0DA1" w:rsidRDefault="00853A05" w:rsidP="00CD7995">
            <w:pPr>
              <w:pStyle w:val="desc"/>
              <w:shd w:val="clear" w:color="auto" w:fill="FFFFFF"/>
              <w:spacing w:before="0" w:beforeAutospacing="0" w:after="0" w:afterAutospacing="0"/>
              <w:rPr>
                <w:rFonts w:ascii="Calibri" w:hAnsi="Calibri" w:cs="Arial"/>
                <w:color w:val="000000"/>
                <w:sz w:val="23"/>
                <w:szCs w:val="23"/>
              </w:rPr>
            </w:pPr>
            <w:r w:rsidRPr="00FC0DA1">
              <w:rPr>
                <w:rFonts w:ascii="Calibri" w:hAnsi="Calibri" w:cs="Arial"/>
                <w:color w:val="000000"/>
                <w:sz w:val="23"/>
                <w:szCs w:val="23"/>
              </w:rPr>
              <w:t xml:space="preserve">Fink HA, MacDonald R, Forte ML, Rosebush CE, </w:t>
            </w:r>
            <w:proofErr w:type="spellStart"/>
            <w:r w:rsidRPr="00FC0DA1">
              <w:rPr>
                <w:rFonts w:ascii="Calibri" w:hAnsi="Calibri" w:cs="Arial"/>
                <w:color w:val="000000"/>
                <w:sz w:val="23"/>
                <w:szCs w:val="23"/>
              </w:rPr>
              <w:t>Ensrud</w:t>
            </w:r>
            <w:proofErr w:type="spellEnd"/>
            <w:r w:rsidRPr="00FC0DA1">
              <w:rPr>
                <w:rFonts w:ascii="Calibri" w:hAnsi="Calibri" w:cs="Arial"/>
                <w:color w:val="000000"/>
                <w:sz w:val="23"/>
                <w:szCs w:val="23"/>
              </w:rPr>
              <w:t xml:space="preserve"> KE, </w:t>
            </w:r>
            <w:proofErr w:type="spellStart"/>
            <w:r w:rsidRPr="00FC0DA1">
              <w:rPr>
                <w:rFonts w:ascii="Calibri" w:hAnsi="Calibri" w:cs="Arial"/>
                <w:color w:val="000000"/>
                <w:sz w:val="23"/>
                <w:szCs w:val="23"/>
              </w:rPr>
              <w:t>Schousboe</w:t>
            </w:r>
            <w:proofErr w:type="spellEnd"/>
            <w:r w:rsidRPr="00FC0DA1">
              <w:rPr>
                <w:rFonts w:ascii="Calibri" w:hAnsi="Calibri" w:cs="Arial"/>
                <w:color w:val="000000"/>
                <w:sz w:val="23"/>
                <w:szCs w:val="23"/>
              </w:rPr>
              <w:t xml:space="preserve"> JT, Nelson VA, Ullman K, Butler M, Olson CM, Taylor BC, </w:t>
            </w:r>
            <w:proofErr w:type="spellStart"/>
            <w:r w:rsidRPr="00FC0DA1">
              <w:rPr>
                <w:rFonts w:ascii="Calibri" w:hAnsi="Calibri" w:cs="Arial"/>
                <w:color w:val="000000"/>
                <w:sz w:val="23"/>
                <w:szCs w:val="23"/>
              </w:rPr>
              <w:t>Brasure</w:t>
            </w:r>
            <w:proofErr w:type="spellEnd"/>
            <w:r w:rsidRPr="00FC0DA1">
              <w:rPr>
                <w:rFonts w:ascii="Calibri" w:hAnsi="Calibri" w:cs="Arial"/>
                <w:color w:val="000000"/>
                <w:sz w:val="23"/>
                <w:szCs w:val="23"/>
              </w:rPr>
              <w:t xml:space="preserve"> M, Wilt TJ.</w:t>
            </w:r>
          </w:p>
          <w:p w14:paraId="0DBD3B10" w14:textId="77777777" w:rsidR="00853A05" w:rsidRPr="00FC0DA1" w:rsidRDefault="00853A05" w:rsidP="00CD7995">
            <w:pPr>
              <w:pStyle w:val="details"/>
              <w:shd w:val="clear" w:color="auto" w:fill="FFFFFF"/>
              <w:spacing w:before="0" w:beforeAutospacing="0" w:after="0" w:afterAutospacing="0"/>
              <w:rPr>
                <w:rFonts w:ascii="Calibri" w:hAnsi="Calibri" w:cs="Arial"/>
                <w:color w:val="000000"/>
                <w:sz w:val="23"/>
                <w:szCs w:val="23"/>
              </w:rPr>
            </w:pPr>
            <w:r w:rsidRPr="00FC0DA1">
              <w:rPr>
                <w:rStyle w:val="jrnl"/>
                <w:rFonts w:ascii="Calibri" w:hAnsi="Calibri" w:cs="Arial"/>
                <w:color w:val="000000"/>
                <w:sz w:val="23"/>
                <w:szCs w:val="23"/>
              </w:rPr>
              <w:t>Ann Intern Med</w:t>
            </w:r>
            <w:r w:rsidRPr="00FC0DA1">
              <w:rPr>
                <w:rFonts w:ascii="Calibri" w:hAnsi="Calibri" w:cs="Arial"/>
                <w:color w:val="000000"/>
                <w:sz w:val="23"/>
                <w:szCs w:val="23"/>
              </w:rPr>
              <w:t xml:space="preserve">. 2019 Apr 23. </w:t>
            </w:r>
            <w:proofErr w:type="spellStart"/>
            <w:proofErr w:type="gramStart"/>
            <w:r w:rsidRPr="00FC0DA1">
              <w:rPr>
                <w:rFonts w:ascii="Calibri" w:hAnsi="Calibri" w:cs="Arial"/>
                <w:color w:val="000000"/>
                <w:sz w:val="23"/>
                <w:szCs w:val="23"/>
              </w:rPr>
              <w:t>doi</w:t>
            </w:r>
            <w:proofErr w:type="spellEnd"/>
            <w:proofErr w:type="gramEnd"/>
            <w:r w:rsidRPr="00FC0DA1">
              <w:rPr>
                <w:rFonts w:ascii="Calibri" w:hAnsi="Calibri" w:cs="Arial"/>
                <w:color w:val="000000"/>
                <w:sz w:val="23"/>
                <w:szCs w:val="23"/>
              </w:rPr>
              <w:t>: 10.7326/M19-0533. [</w:t>
            </w:r>
            <w:proofErr w:type="spellStart"/>
            <w:r w:rsidRPr="00FC0DA1">
              <w:rPr>
                <w:rFonts w:ascii="Calibri" w:hAnsi="Calibri" w:cs="Arial"/>
                <w:color w:val="000000"/>
                <w:sz w:val="23"/>
                <w:szCs w:val="23"/>
              </w:rPr>
              <w:t>Epub</w:t>
            </w:r>
            <w:proofErr w:type="spellEnd"/>
            <w:r w:rsidRPr="00FC0DA1">
              <w:rPr>
                <w:rFonts w:ascii="Calibri" w:hAnsi="Calibri" w:cs="Arial"/>
                <w:color w:val="000000"/>
                <w:sz w:val="23"/>
                <w:szCs w:val="23"/>
              </w:rPr>
              <w:t xml:space="preserve"> ahead of print]</w:t>
            </w:r>
          </w:p>
          <w:p w14:paraId="2F8F9879" w14:textId="77777777" w:rsidR="00853A05" w:rsidRPr="00FC0DA1" w:rsidRDefault="00853A05" w:rsidP="00CD7995">
            <w:pPr>
              <w:shd w:val="clear" w:color="auto" w:fill="FFFFFF"/>
              <w:spacing w:line="336" w:lineRule="atLeast"/>
              <w:ind w:right="225"/>
              <w:rPr>
                <w:rFonts w:ascii="Calibri" w:eastAsia="Times New Roman" w:hAnsi="Calibri" w:cs="Arial"/>
                <w:color w:val="575757"/>
                <w:sz w:val="23"/>
                <w:szCs w:val="23"/>
              </w:rPr>
            </w:pPr>
            <w:r w:rsidRPr="00FC0DA1">
              <w:rPr>
                <w:rFonts w:ascii="Calibri" w:eastAsia="Times New Roman" w:hAnsi="Calibri" w:cs="Arial"/>
                <w:color w:val="575757"/>
                <w:sz w:val="23"/>
                <w:szCs w:val="23"/>
              </w:rPr>
              <w:t>PMID: 31009947</w:t>
            </w:r>
          </w:p>
        </w:tc>
      </w:tr>
      <w:tr w:rsidR="00853A05" w:rsidRPr="00FC0DA1" w14:paraId="049D6079" w14:textId="77777777" w:rsidTr="00CD7995">
        <w:tc>
          <w:tcPr>
            <w:tcW w:w="1278" w:type="dxa"/>
          </w:tcPr>
          <w:sdt>
            <w:sdtPr>
              <w:rPr>
                <w:rFonts w:ascii="Calibri" w:hAnsi="Calibri"/>
                <w:sz w:val="23"/>
                <w:szCs w:val="23"/>
              </w:rPr>
              <w:tag w:val="goog_rdk_66"/>
              <w:id w:val="-701083718"/>
            </w:sdtPr>
            <w:sdtEndPr/>
            <w:sdtContent>
              <w:p w14:paraId="51C4895C" w14:textId="77777777" w:rsidR="00853A05" w:rsidRPr="00FC0DA1" w:rsidRDefault="00853A05" w:rsidP="00CD7995">
                <w:pPr>
                  <w:rPr>
                    <w:rFonts w:ascii="Calibri" w:hAnsi="Calibri"/>
                    <w:b/>
                    <w:sz w:val="23"/>
                    <w:szCs w:val="23"/>
                  </w:rPr>
                </w:pPr>
                <w:r w:rsidRPr="00FC0DA1">
                  <w:rPr>
                    <w:rFonts w:ascii="Calibri" w:hAnsi="Calibri"/>
                    <w:b/>
                    <w:sz w:val="23"/>
                    <w:szCs w:val="23"/>
                  </w:rPr>
                  <w:t>Abstract</w:t>
                </w:r>
              </w:p>
            </w:sdtContent>
          </w:sdt>
        </w:tc>
        <w:tc>
          <w:tcPr>
            <w:tcW w:w="8298" w:type="dxa"/>
          </w:tcPr>
          <w:p w14:paraId="7BD660D7" w14:textId="77777777" w:rsidR="00853A05" w:rsidRPr="00FC0DA1" w:rsidRDefault="00853A05" w:rsidP="00CD7995">
            <w:pPr>
              <w:pStyle w:val="Heading3"/>
              <w:shd w:val="clear" w:color="auto" w:fill="FFFFFF"/>
              <w:spacing w:before="0" w:beforeAutospacing="0" w:after="0" w:afterAutospacing="0"/>
              <w:rPr>
                <w:rFonts w:ascii="Calibri" w:eastAsia="Times New Roman" w:hAnsi="Calibri" w:cs="Arial"/>
                <w:color w:val="985735"/>
                <w:sz w:val="23"/>
                <w:szCs w:val="23"/>
              </w:rPr>
            </w:pPr>
            <w:r w:rsidRPr="00FC0DA1">
              <w:rPr>
                <w:rFonts w:ascii="Calibri" w:eastAsia="Times New Roman" w:hAnsi="Calibri" w:cs="Arial"/>
                <w:color w:val="985735"/>
                <w:sz w:val="23"/>
                <w:szCs w:val="23"/>
              </w:rPr>
              <w:t>Abstract</w:t>
            </w:r>
          </w:p>
          <w:p w14:paraId="6A4E10D0" w14:textId="77777777" w:rsidR="00853A05" w:rsidRPr="00FC0DA1" w:rsidRDefault="00853A05" w:rsidP="00CD7995">
            <w:pPr>
              <w:pStyle w:val="Heading4"/>
              <w:shd w:val="clear" w:color="auto" w:fill="FFFFFF"/>
              <w:spacing w:before="0" w:beforeAutospacing="0" w:after="0" w:afterAutospacing="0"/>
              <w:ind w:right="60"/>
              <w:rPr>
                <w:rFonts w:ascii="Calibri" w:eastAsia="Times New Roman" w:hAnsi="Calibri" w:cs="Arial"/>
                <w:caps/>
                <w:color w:val="000000"/>
                <w:sz w:val="23"/>
                <w:szCs w:val="23"/>
              </w:rPr>
            </w:pPr>
            <w:r w:rsidRPr="00FC0DA1">
              <w:rPr>
                <w:rFonts w:ascii="Calibri" w:eastAsia="Times New Roman" w:hAnsi="Calibri" w:cs="Arial"/>
                <w:caps/>
                <w:color w:val="000000"/>
                <w:sz w:val="23"/>
                <w:szCs w:val="23"/>
              </w:rPr>
              <w:t>BACKGROUND:</w:t>
            </w:r>
          </w:p>
          <w:p w14:paraId="4FE7ED61" w14:textId="77777777" w:rsidR="00853A05" w:rsidRPr="00FC0DA1" w:rsidRDefault="00853A05" w:rsidP="00CD7995">
            <w:pPr>
              <w:pStyle w:val="NormalWeb"/>
              <w:shd w:val="clear" w:color="auto" w:fill="FFFFFF"/>
              <w:spacing w:before="0" w:beforeAutospacing="0" w:after="120" w:afterAutospacing="0"/>
              <w:rPr>
                <w:rFonts w:ascii="Calibri" w:hAnsi="Calibri" w:cs="Arial"/>
                <w:color w:val="000000"/>
                <w:sz w:val="23"/>
                <w:szCs w:val="23"/>
              </w:rPr>
            </w:pPr>
            <w:r w:rsidRPr="00FC0DA1">
              <w:rPr>
                <w:rFonts w:ascii="Calibri" w:hAnsi="Calibri" w:cs="Arial"/>
                <w:color w:val="000000"/>
                <w:sz w:val="23"/>
                <w:szCs w:val="23"/>
              </w:rPr>
              <w:t>Optimal long-term osteoporosis drug treatment (ODT) is uncertain.</w:t>
            </w:r>
          </w:p>
          <w:p w14:paraId="0F8A78B5" w14:textId="77777777" w:rsidR="00853A05" w:rsidRPr="00FC0DA1" w:rsidRDefault="00853A05" w:rsidP="00CD7995">
            <w:pPr>
              <w:pStyle w:val="Heading4"/>
              <w:shd w:val="clear" w:color="auto" w:fill="FFFFFF"/>
              <w:spacing w:before="0" w:beforeAutospacing="0" w:after="0" w:afterAutospacing="0"/>
              <w:ind w:right="60"/>
              <w:rPr>
                <w:rFonts w:ascii="Calibri" w:eastAsia="Times New Roman" w:hAnsi="Calibri" w:cs="Arial"/>
                <w:caps/>
                <w:color w:val="000000"/>
                <w:sz w:val="23"/>
                <w:szCs w:val="23"/>
              </w:rPr>
            </w:pPr>
            <w:r w:rsidRPr="00FC0DA1">
              <w:rPr>
                <w:rFonts w:ascii="Calibri" w:eastAsia="Times New Roman" w:hAnsi="Calibri" w:cs="Arial"/>
                <w:caps/>
                <w:color w:val="000000"/>
                <w:sz w:val="23"/>
                <w:szCs w:val="23"/>
              </w:rPr>
              <w:t>PURPOSE:</w:t>
            </w:r>
          </w:p>
          <w:p w14:paraId="4E4582C2" w14:textId="77777777" w:rsidR="00853A05" w:rsidRPr="00FC0DA1" w:rsidRDefault="00853A05" w:rsidP="00CD7995">
            <w:pPr>
              <w:pStyle w:val="NormalWeb"/>
              <w:shd w:val="clear" w:color="auto" w:fill="FFFFFF"/>
              <w:spacing w:before="0" w:beforeAutospacing="0" w:after="120" w:afterAutospacing="0"/>
              <w:rPr>
                <w:rFonts w:ascii="Calibri" w:hAnsi="Calibri" w:cs="Arial"/>
                <w:color w:val="000000"/>
                <w:sz w:val="23"/>
                <w:szCs w:val="23"/>
              </w:rPr>
            </w:pPr>
            <w:r w:rsidRPr="00FC0DA1">
              <w:rPr>
                <w:rFonts w:ascii="Calibri" w:hAnsi="Calibri" w:cs="Arial"/>
                <w:color w:val="000000"/>
                <w:sz w:val="23"/>
                <w:szCs w:val="23"/>
              </w:rPr>
              <w:t>To summarize the effects of long-term ODT and ODT discontinuation and holidays.</w:t>
            </w:r>
          </w:p>
          <w:p w14:paraId="5BB61F7F" w14:textId="77777777" w:rsidR="00853A05" w:rsidRPr="00FC0DA1" w:rsidRDefault="00853A05" w:rsidP="00CD7995">
            <w:pPr>
              <w:pStyle w:val="Heading4"/>
              <w:shd w:val="clear" w:color="auto" w:fill="FFFFFF"/>
              <w:spacing w:before="0" w:beforeAutospacing="0" w:after="0" w:afterAutospacing="0"/>
              <w:ind w:right="60"/>
              <w:rPr>
                <w:rFonts w:ascii="Calibri" w:eastAsia="Times New Roman" w:hAnsi="Calibri" w:cs="Arial"/>
                <w:caps/>
                <w:color w:val="000000"/>
                <w:sz w:val="23"/>
                <w:szCs w:val="23"/>
              </w:rPr>
            </w:pPr>
            <w:r w:rsidRPr="00FC0DA1">
              <w:rPr>
                <w:rFonts w:ascii="Calibri" w:eastAsia="Times New Roman" w:hAnsi="Calibri" w:cs="Arial"/>
                <w:caps/>
                <w:color w:val="000000"/>
                <w:sz w:val="23"/>
                <w:szCs w:val="23"/>
              </w:rPr>
              <w:t>DATA SOURCES:</w:t>
            </w:r>
          </w:p>
          <w:p w14:paraId="74E32EDD" w14:textId="77777777" w:rsidR="00853A05" w:rsidRPr="00FC0DA1" w:rsidRDefault="00853A05" w:rsidP="00CD7995">
            <w:pPr>
              <w:pStyle w:val="NormalWeb"/>
              <w:shd w:val="clear" w:color="auto" w:fill="FFFFFF"/>
              <w:spacing w:before="0" w:beforeAutospacing="0" w:after="120" w:afterAutospacing="0"/>
              <w:rPr>
                <w:rFonts w:ascii="Calibri" w:hAnsi="Calibri" w:cs="Arial"/>
                <w:color w:val="000000"/>
                <w:sz w:val="23"/>
                <w:szCs w:val="23"/>
              </w:rPr>
            </w:pPr>
            <w:r w:rsidRPr="00FC0DA1">
              <w:rPr>
                <w:rFonts w:ascii="Calibri" w:hAnsi="Calibri" w:cs="Arial"/>
                <w:color w:val="000000"/>
                <w:sz w:val="23"/>
                <w:szCs w:val="23"/>
              </w:rPr>
              <w:t>Electronic bibliographic databases (January 1995 to October 2018) and systematic review bibliographies.</w:t>
            </w:r>
          </w:p>
          <w:p w14:paraId="4A89CB6C" w14:textId="77777777" w:rsidR="00853A05" w:rsidRPr="00FC0DA1" w:rsidRDefault="00853A05" w:rsidP="00CD7995">
            <w:pPr>
              <w:pStyle w:val="Heading4"/>
              <w:shd w:val="clear" w:color="auto" w:fill="FFFFFF"/>
              <w:spacing w:before="0" w:beforeAutospacing="0" w:after="0" w:afterAutospacing="0"/>
              <w:ind w:right="60"/>
              <w:rPr>
                <w:rFonts w:ascii="Calibri" w:eastAsia="Times New Roman" w:hAnsi="Calibri" w:cs="Arial"/>
                <w:caps/>
                <w:color w:val="000000"/>
                <w:sz w:val="23"/>
                <w:szCs w:val="23"/>
              </w:rPr>
            </w:pPr>
            <w:r w:rsidRPr="00FC0DA1">
              <w:rPr>
                <w:rFonts w:ascii="Calibri" w:eastAsia="Times New Roman" w:hAnsi="Calibri" w:cs="Arial"/>
                <w:caps/>
                <w:color w:val="000000"/>
                <w:sz w:val="23"/>
                <w:szCs w:val="23"/>
              </w:rPr>
              <w:t>STUDY SELECTION:</w:t>
            </w:r>
          </w:p>
          <w:p w14:paraId="234DC0E2" w14:textId="77777777" w:rsidR="00853A05" w:rsidRPr="00FC0DA1" w:rsidRDefault="00853A05" w:rsidP="00CD7995">
            <w:pPr>
              <w:pStyle w:val="NormalWeb"/>
              <w:shd w:val="clear" w:color="auto" w:fill="FFFFFF"/>
              <w:spacing w:before="0" w:beforeAutospacing="0" w:after="120" w:afterAutospacing="0"/>
              <w:rPr>
                <w:rFonts w:ascii="Calibri" w:hAnsi="Calibri" w:cs="Arial"/>
                <w:color w:val="000000"/>
                <w:sz w:val="23"/>
                <w:szCs w:val="23"/>
              </w:rPr>
            </w:pPr>
            <w:r w:rsidRPr="00FC0DA1">
              <w:rPr>
                <w:rFonts w:ascii="Calibri" w:hAnsi="Calibri" w:cs="Arial"/>
                <w:color w:val="000000"/>
                <w:sz w:val="23"/>
                <w:szCs w:val="23"/>
              </w:rPr>
              <w:t>48 studies that enrolled men or postmenopausal women aged 50 years or older who were being investigated or treated for fracture prevention, compared long-term ODT (&gt;3 years) versus control or ODT continuation versus discontinuation, reported incident fractures (for trials) or harms (for trials and observational studies), and had low or medium risk of bias (ROB).</w:t>
            </w:r>
          </w:p>
          <w:p w14:paraId="78ED5EFC" w14:textId="77777777" w:rsidR="00853A05" w:rsidRPr="00FC0DA1" w:rsidRDefault="00853A05" w:rsidP="00CD7995">
            <w:pPr>
              <w:pStyle w:val="Heading4"/>
              <w:shd w:val="clear" w:color="auto" w:fill="FFFFFF"/>
              <w:spacing w:before="0" w:beforeAutospacing="0" w:after="0" w:afterAutospacing="0"/>
              <w:ind w:right="60"/>
              <w:rPr>
                <w:rFonts w:ascii="Calibri" w:eastAsia="Times New Roman" w:hAnsi="Calibri" w:cs="Arial"/>
                <w:caps/>
                <w:color w:val="000000"/>
                <w:sz w:val="23"/>
                <w:szCs w:val="23"/>
              </w:rPr>
            </w:pPr>
            <w:r w:rsidRPr="00FC0DA1">
              <w:rPr>
                <w:rFonts w:ascii="Calibri" w:eastAsia="Times New Roman" w:hAnsi="Calibri" w:cs="Arial"/>
                <w:caps/>
                <w:color w:val="000000"/>
                <w:sz w:val="23"/>
                <w:szCs w:val="23"/>
              </w:rPr>
              <w:t>DATA EXTRACTION:</w:t>
            </w:r>
          </w:p>
          <w:p w14:paraId="4561F54A" w14:textId="77777777" w:rsidR="00853A05" w:rsidRPr="00FC0DA1" w:rsidRDefault="00853A05" w:rsidP="00CD7995">
            <w:pPr>
              <w:pStyle w:val="NormalWeb"/>
              <w:shd w:val="clear" w:color="auto" w:fill="FFFFFF"/>
              <w:spacing w:before="0" w:beforeAutospacing="0" w:after="120" w:afterAutospacing="0"/>
              <w:rPr>
                <w:rFonts w:ascii="Calibri" w:hAnsi="Calibri" w:cs="Arial"/>
                <w:color w:val="000000"/>
                <w:sz w:val="23"/>
                <w:szCs w:val="23"/>
              </w:rPr>
            </w:pPr>
            <w:r w:rsidRPr="00FC0DA1">
              <w:rPr>
                <w:rFonts w:ascii="Calibri" w:hAnsi="Calibri" w:cs="Arial"/>
                <w:color w:val="000000"/>
                <w:sz w:val="23"/>
                <w:szCs w:val="23"/>
              </w:rPr>
              <w:t>Two reviewers independently rated ROB and strength of evidence (SOE). One extracted data; another verified accuracy.</w:t>
            </w:r>
          </w:p>
          <w:p w14:paraId="5A0BE894" w14:textId="77777777" w:rsidR="00853A05" w:rsidRPr="00FC0DA1" w:rsidRDefault="00853A05" w:rsidP="00CD7995">
            <w:pPr>
              <w:pStyle w:val="Heading4"/>
              <w:shd w:val="clear" w:color="auto" w:fill="FFFFFF"/>
              <w:spacing w:before="0" w:beforeAutospacing="0" w:after="0" w:afterAutospacing="0"/>
              <w:ind w:right="60"/>
              <w:rPr>
                <w:rFonts w:ascii="Calibri" w:eastAsia="Times New Roman" w:hAnsi="Calibri" w:cs="Arial"/>
                <w:caps/>
                <w:color w:val="000000"/>
                <w:sz w:val="23"/>
                <w:szCs w:val="23"/>
              </w:rPr>
            </w:pPr>
            <w:r w:rsidRPr="00FC0DA1">
              <w:rPr>
                <w:rFonts w:ascii="Calibri" w:eastAsia="Times New Roman" w:hAnsi="Calibri" w:cs="Arial"/>
                <w:caps/>
                <w:color w:val="000000"/>
                <w:sz w:val="23"/>
                <w:szCs w:val="23"/>
              </w:rPr>
              <w:t>DATA SYNTHESIS:</w:t>
            </w:r>
          </w:p>
          <w:p w14:paraId="15E667A9" w14:textId="77777777" w:rsidR="00853A05" w:rsidRPr="00FC0DA1" w:rsidRDefault="00853A05" w:rsidP="00CD7995">
            <w:pPr>
              <w:pStyle w:val="NormalWeb"/>
              <w:shd w:val="clear" w:color="auto" w:fill="FFFFFF"/>
              <w:spacing w:before="0" w:beforeAutospacing="0" w:after="120" w:afterAutospacing="0"/>
              <w:rPr>
                <w:rFonts w:ascii="Calibri" w:hAnsi="Calibri" w:cs="Arial"/>
                <w:color w:val="000000"/>
                <w:sz w:val="23"/>
                <w:szCs w:val="23"/>
              </w:rPr>
            </w:pPr>
            <w:r w:rsidRPr="00FC0DA1">
              <w:rPr>
                <w:rFonts w:ascii="Calibri" w:hAnsi="Calibri" w:cs="Arial"/>
                <w:color w:val="000000"/>
                <w:sz w:val="23"/>
                <w:szCs w:val="23"/>
              </w:rPr>
              <w:t xml:space="preserve">Thirty-five trials (9 unique studies) and 13 observational studies (11 unique studies) had low or medium ROB. In women with osteoporosis, 4 years of alendronate reduced clinical fractures (hazard ratio [HR], 0.64 [95% CI, 0.50 to 0.82]) and radiographic vertebral fractures (both moderate SOE), whereas 4 years of </w:t>
            </w:r>
            <w:proofErr w:type="spellStart"/>
            <w:r w:rsidRPr="00FC0DA1">
              <w:rPr>
                <w:rFonts w:ascii="Calibri" w:hAnsi="Calibri" w:cs="Arial"/>
                <w:color w:val="000000"/>
                <w:sz w:val="23"/>
                <w:szCs w:val="23"/>
              </w:rPr>
              <w:t>raloxifene</w:t>
            </w:r>
            <w:proofErr w:type="spellEnd"/>
            <w:r w:rsidRPr="00FC0DA1">
              <w:rPr>
                <w:rFonts w:ascii="Calibri" w:hAnsi="Calibri" w:cs="Arial"/>
                <w:color w:val="000000"/>
                <w:sz w:val="23"/>
                <w:szCs w:val="23"/>
              </w:rPr>
              <w:t xml:space="preserve"> reduced vertebral but not </w:t>
            </w:r>
            <w:proofErr w:type="spellStart"/>
            <w:r w:rsidRPr="00FC0DA1">
              <w:rPr>
                <w:rFonts w:ascii="Calibri" w:hAnsi="Calibri" w:cs="Arial"/>
                <w:color w:val="000000"/>
                <w:sz w:val="23"/>
                <w:szCs w:val="23"/>
              </w:rPr>
              <w:t>nonvertebral</w:t>
            </w:r>
            <w:proofErr w:type="spellEnd"/>
            <w:r w:rsidRPr="00FC0DA1">
              <w:rPr>
                <w:rFonts w:ascii="Calibri" w:hAnsi="Calibri" w:cs="Arial"/>
                <w:color w:val="000000"/>
                <w:sz w:val="23"/>
                <w:szCs w:val="23"/>
              </w:rPr>
              <w:t xml:space="preserve"> fractures. In women with osteopenia or osteoporosis, 6 years of </w:t>
            </w:r>
            <w:proofErr w:type="spellStart"/>
            <w:r w:rsidRPr="00FC0DA1">
              <w:rPr>
                <w:rFonts w:ascii="Calibri" w:hAnsi="Calibri" w:cs="Arial"/>
                <w:color w:val="000000"/>
                <w:sz w:val="23"/>
                <w:szCs w:val="23"/>
              </w:rPr>
              <w:t>zoledronic</w:t>
            </w:r>
            <w:proofErr w:type="spellEnd"/>
            <w:r w:rsidRPr="00FC0DA1">
              <w:rPr>
                <w:rFonts w:ascii="Calibri" w:hAnsi="Calibri" w:cs="Arial"/>
                <w:color w:val="000000"/>
                <w:sz w:val="23"/>
                <w:szCs w:val="23"/>
              </w:rPr>
              <w:t xml:space="preserve"> acid reduced clinical fractures (HR, 0.73 [CI, 0.60 to 0.90]), including </w:t>
            </w:r>
            <w:proofErr w:type="spellStart"/>
            <w:r w:rsidRPr="00FC0DA1">
              <w:rPr>
                <w:rFonts w:ascii="Calibri" w:hAnsi="Calibri" w:cs="Arial"/>
                <w:color w:val="000000"/>
                <w:sz w:val="23"/>
                <w:szCs w:val="23"/>
              </w:rPr>
              <w:t>nonvertebral</w:t>
            </w:r>
            <w:proofErr w:type="spellEnd"/>
            <w:r w:rsidRPr="00FC0DA1">
              <w:rPr>
                <w:rFonts w:ascii="Calibri" w:hAnsi="Calibri" w:cs="Arial"/>
                <w:color w:val="000000"/>
                <w:sz w:val="23"/>
                <w:szCs w:val="23"/>
              </w:rPr>
              <w:t xml:space="preserve"> fractures (high SOE) and clinical vertebral fractures (moderate SOE). Long-term bisphosphonates increased risk for 2 rare harms: atypical femoral fractures (low SOE) and osteonecrosis of the jaw (mostly low SOE). In women with unspecified osteoporosis status, 5 to 7 years of hormone therapy reduced clinical fractures (high SOE), including hip fractures (moderate SOE), but increased serious harms. After 3 to 5 years of treatment, bisphosphonate continuation versus discontinuation reduced radiographic vertebral fractures (</w:t>
            </w:r>
            <w:proofErr w:type="spellStart"/>
            <w:r w:rsidRPr="00FC0DA1">
              <w:rPr>
                <w:rFonts w:ascii="Calibri" w:hAnsi="Calibri" w:cs="Arial"/>
                <w:color w:val="000000"/>
                <w:sz w:val="23"/>
                <w:szCs w:val="23"/>
              </w:rPr>
              <w:t>zoledronic</w:t>
            </w:r>
            <w:proofErr w:type="spellEnd"/>
            <w:r w:rsidRPr="00FC0DA1">
              <w:rPr>
                <w:rFonts w:ascii="Calibri" w:hAnsi="Calibri" w:cs="Arial"/>
                <w:color w:val="000000"/>
                <w:sz w:val="23"/>
                <w:szCs w:val="23"/>
              </w:rPr>
              <w:t xml:space="preserve"> acid; low SOE) and clinical vertebral fractures (alendronate; moderate SOE) but not </w:t>
            </w:r>
            <w:proofErr w:type="spellStart"/>
            <w:r w:rsidRPr="00FC0DA1">
              <w:rPr>
                <w:rFonts w:ascii="Calibri" w:hAnsi="Calibri" w:cs="Arial"/>
                <w:color w:val="000000"/>
                <w:sz w:val="23"/>
                <w:szCs w:val="23"/>
              </w:rPr>
              <w:t>nonvertebral</w:t>
            </w:r>
            <w:proofErr w:type="spellEnd"/>
            <w:r w:rsidRPr="00FC0DA1">
              <w:rPr>
                <w:rFonts w:ascii="Calibri" w:hAnsi="Calibri" w:cs="Arial"/>
                <w:color w:val="000000"/>
                <w:sz w:val="23"/>
                <w:szCs w:val="23"/>
              </w:rPr>
              <w:t xml:space="preserve"> fractures (low SOE).</w:t>
            </w:r>
          </w:p>
          <w:p w14:paraId="43237578" w14:textId="77777777" w:rsidR="00853A05" w:rsidRPr="00FC0DA1" w:rsidRDefault="00853A05" w:rsidP="00CD7995">
            <w:pPr>
              <w:pStyle w:val="Heading4"/>
              <w:shd w:val="clear" w:color="auto" w:fill="FFFFFF"/>
              <w:spacing w:before="0" w:beforeAutospacing="0" w:after="0" w:afterAutospacing="0"/>
              <w:ind w:right="60"/>
              <w:rPr>
                <w:rFonts w:ascii="Calibri" w:eastAsia="Times New Roman" w:hAnsi="Calibri" w:cs="Arial"/>
                <w:caps/>
                <w:color w:val="000000"/>
                <w:sz w:val="23"/>
                <w:szCs w:val="23"/>
              </w:rPr>
            </w:pPr>
            <w:r w:rsidRPr="00FC0DA1">
              <w:rPr>
                <w:rFonts w:ascii="Calibri" w:eastAsia="Times New Roman" w:hAnsi="Calibri" w:cs="Arial"/>
                <w:caps/>
                <w:color w:val="000000"/>
                <w:sz w:val="23"/>
                <w:szCs w:val="23"/>
              </w:rPr>
              <w:t>LIMITATION:</w:t>
            </w:r>
          </w:p>
          <w:p w14:paraId="425E437A" w14:textId="77777777" w:rsidR="00853A05" w:rsidRPr="00FC0DA1" w:rsidRDefault="00853A05" w:rsidP="00CD7995">
            <w:pPr>
              <w:pStyle w:val="NormalWeb"/>
              <w:shd w:val="clear" w:color="auto" w:fill="FFFFFF"/>
              <w:spacing w:before="0" w:beforeAutospacing="0" w:after="120" w:afterAutospacing="0"/>
              <w:rPr>
                <w:rFonts w:ascii="Calibri" w:hAnsi="Calibri" w:cs="Arial"/>
                <w:color w:val="000000"/>
                <w:sz w:val="23"/>
                <w:szCs w:val="23"/>
              </w:rPr>
            </w:pPr>
            <w:r w:rsidRPr="00FC0DA1">
              <w:rPr>
                <w:rFonts w:ascii="Calibri" w:hAnsi="Calibri" w:cs="Arial"/>
                <w:color w:val="000000"/>
                <w:sz w:val="23"/>
                <w:szCs w:val="23"/>
              </w:rPr>
              <w:t>No trials studied men, clinical fracture data were sparse, methods for estimating harms were heterogeneous, and no trials compared sequential treatments or different durations of drug holidays.</w:t>
            </w:r>
          </w:p>
          <w:p w14:paraId="354F72B7" w14:textId="77777777" w:rsidR="00853A05" w:rsidRPr="00FC0DA1" w:rsidRDefault="00853A05" w:rsidP="00CD7995">
            <w:pPr>
              <w:pStyle w:val="Heading4"/>
              <w:shd w:val="clear" w:color="auto" w:fill="FFFFFF"/>
              <w:spacing w:before="0" w:beforeAutospacing="0" w:after="0" w:afterAutospacing="0"/>
              <w:ind w:right="60"/>
              <w:rPr>
                <w:rFonts w:ascii="Calibri" w:eastAsia="Times New Roman" w:hAnsi="Calibri" w:cs="Arial"/>
                <w:caps/>
                <w:color w:val="000000"/>
                <w:sz w:val="23"/>
                <w:szCs w:val="23"/>
              </w:rPr>
            </w:pPr>
            <w:r w:rsidRPr="00FC0DA1">
              <w:rPr>
                <w:rFonts w:ascii="Calibri" w:eastAsia="Times New Roman" w:hAnsi="Calibri" w:cs="Arial"/>
                <w:caps/>
                <w:color w:val="000000"/>
                <w:sz w:val="23"/>
                <w:szCs w:val="23"/>
              </w:rPr>
              <w:t>CONCLUSION:</w:t>
            </w:r>
          </w:p>
          <w:p w14:paraId="43F0B6B0" w14:textId="77777777" w:rsidR="00853A05" w:rsidRPr="00FC0DA1" w:rsidRDefault="00853A05" w:rsidP="00CD7995">
            <w:pPr>
              <w:pStyle w:val="NormalWeb"/>
              <w:shd w:val="clear" w:color="auto" w:fill="FFFFFF"/>
              <w:spacing w:before="0" w:beforeAutospacing="0" w:after="120" w:afterAutospacing="0"/>
              <w:rPr>
                <w:rFonts w:ascii="Calibri" w:hAnsi="Calibri" w:cs="Arial"/>
                <w:color w:val="000000"/>
                <w:sz w:val="23"/>
                <w:szCs w:val="23"/>
              </w:rPr>
            </w:pPr>
            <w:r w:rsidRPr="00FC0DA1">
              <w:rPr>
                <w:rFonts w:ascii="Calibri" w:hAnsi="Calibri" w:cs="Arial"/>
                <w:color w:val="000000"/>
                <w:sz w:val="23"/>
                <w:szCs w:val="23"/>
              </w:rPr>
              <w:t xml:space="preserve">Long-term alendronate and </w:t>
            </w:r>
            <w:proofErr w:type="spellStart"/>
            <w:r w:rsidRPr="00FC0DA1">
              <w:rPr>
                <w:rFonts w:ascii="Calibri" w:hAnsi="Calibri" w:cs="Arial"/>
                <w:color w:val="000000"/>
                <w:sz w:val="23"/>
                <w:szCs w:val="23"/>
              </w:rPr>
              <w:t>zoledronic</w:t>
            </w:r>
            <w:proofErr w:type="spellEnd"/>
            <w:r w:rsidRPr="00FC0DA1">
              <w:rPr>
                <w:rFonts w:ascii="Calibri" w:hAnsi="Calibri" w:cs="Arial"/>
                <w:color w:val="000000"/>
                <w:sz w:val="23"/>
                <w:szCs w:val="23"/>
              </w:rPr>
              <w:t xml:space="preserve"> acid therapies reduce fracture risk in women with osteoporosis. Long-term bisphosphonate treatment may increase risk for rare adverse events, and continuing treatment beyond 3 to 5 years may reduce risk for vertebral fractures. Long-term hormone therapy reduces hip fracture risks but has serious harms.</w:t>
            </w:r>
          </w:p>
        </w:tc>
      </w:tr>
      <w:tr w:rsidR="00853A05" w:rsidRPr="00FC0DA1" w14:paraId="2EC1B7F4" w14:textId="77777777" w:rsidTr="00CD7995">
        <w:tc>
          <w:tcPr>
            <w:tcW w:w="1278" w:type="dxa"/>
          </w:tcPr>
          <w:sdt>
            <w:sdtPr>
              <w:rPr>
                <w:rFonts w:ascii="Calibri" w:hAnsi="Calibri"/>
                <w:sz w:val="23"/>
                <w:szCs w:val="23"/>
              </w:rPr>
              <w:tag w:val="goog_rdk_82"/>
              <w:id w:val="-504741200"/>
            </w:sdtPr>
            <w:sdtEndPr/>
            <w:sdtContent>
              <w:p w14:paraId="413BD518" w14:textId="77777777" w:rsidR="00853A05" w:rsidRPr="00FC0DA1" w:rsidRDefault="00853A05" w:rsidP="00CD7995">
                <w:pPr>
                  <w:rPr>
                    <w:rFonts w:ascii="Calibri" w:hAnsi="Calibri"/>
                    <w:b/>
                    <w:sz w:val="23"/>
                    <w:szCs w:val="23"/>
                  </w:rPr>
                </w:pPr>
                <w:r w:rsidRPr="00FC0DA1">
                  <w:rPr>
                    <w:rFonts w:ascii="Calibri" w:hAnsi="Calibri"/>
                    <w:b/>
                    <w:sz w:val="23"/>
                    <w:szCs w:val="23"/>
                  </w:rPr>
                  <w:t>PDF Link</w:t>
                </w:r>
              </w:p>
            </w:sdtContent>
          </w:sdt>
        </w:tc>
        <w:tc>
          <w:tcPr>
            <w:tcW w:w="8298" w:type="dxa"/>
          </w:tcPr>
          <w:sdt>
            <w:sdtPr>
              <w:rPr>
                <w:rFonts w:ascii="Calibri" w:hAnsi="Calibri"/>
                <w:sz w:val="23"/>
                <w:szCs w:val="23"/>
              </w:rPr>
              <w:tag w:val="goog_rdk_83"/>
              <w:id w:val="-1256118542"/>
            </w:sdtPr>
            <w:sdtEndPr/>
            <w:sdtContent>
              <w:p w14:paraId="2F6AC985" w14:textId="77777777" w:rsidR="00853A05" w:rsidRPr="00FC0DA1" w:rsidRDefault="00853A05" w:rsidP="00CD7995">
                <w:pPr>
                  <w:rPr>
                    <w:rFonts w:ascii="Calibri" w:hAnsi="Calibri"/>
                    <w:sz w:val="23"/>
                    <w:szCs w:val="23"/>
                  </w:rPr>
                </w:pPr>
                <w:r w:rsidRPr="00FC0DA1">
                  <w:rPr>
                    <w:rFonts w:ascii="Calibri" w:hAnsi="Calibri"/>
                    <w:sz w:val="23"/>
                    <w:szCs w:val="23"/>
                  </w:rPr>
                  <w:t>Article 1 - Fink</w:t>
                </w:r>
              </w:p>
            </w:sdtContent>
          </w:sdt>
        </w:tc>
      </w:tr>
    </w:tbl>
    <w:p w14:paraId="00822D6E" w14:textId="77777777" w:rsidR="00853A05" w:rsidRDefault="00853A05">
      <w:pPr>
        <w:rPr>
          <w:rFonts w:ascii="Calibri" w:hAnsi="Calibri"/>
          <w:sz w:val="23"/>
          <w:szCs w:val="23"/>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8298"/>
      </w:tblGrid>
      <w:tr w:rsidR="0095691D" w:rsidRPr="0095691D" w14:paraId="3E5DF44F" w14:textId="77777777" w:rsidTr="00CD7995">
        <w:tc>
          <w:tcPr>
            <w:tcW w:w="1278" w:type="dxa"/>
          </w:tcPr>
          <w:sdt>
            <w:sdtPr>
              <w:rPr>
                <w:rFonts w:ascii="Calibri" w:hAnsi="Calibri"/>
                <w:sz w:val="23"/>
                <w:szCs w:val="23"/>
              </w:rPr>
              <w:tag w:val="goog_rdk_112"/>
              <w:id w:val="-1318948696"/>
            </w:sdtPr>
            <w:sdtEndPr/>
            <w:sdtContent>
              <w:p w14:paraId="1F95F807" w14:textId="77777777" w:rsidR="0095691D" w:rsidRPr="0095691D" w:rsidRDefault="0095691D" w:rsidP="00CD7995">
                <w:pPr>
                  <w:rPr>
                    <w:rFonts w:ascii="Calibri" w:hAnsi="Calibri"/>
                    <w:b/>
                    <w:sz w:val="23"/>
                    <w:szCs w:val="23"/>
                  </w:rPr>
                </w:pPr>
                <w:r w:rsidRPr="0095691D">
                  <w:rPr>
                    <w:rFonts w:ascii="Calibri" w:hAnsi="Calibri"/>
                    <w:b/>
                    <w:sz w:val="23"/>
                    <w:szCs w:val="23"/>
                  </w:rPr>
                  <w:t>Citation</w:t>
                </w:r>
              </w:p>
            </w:sdtContent>
          </w:sdt>
        </w:tc>
        <w:tc>
          <w:tcPr>
            <w:tcW w:w="8298" w:type="dxa"/>
          </w:tcPr>
          <w:p w14:paraId="5758F3BE" w14:textId="536BFCAC" w:rsidR="0095691D" w:rsidRPr="0095691D" w:rsidRDefault="0095691D" w:rsidP="00CD7995">
            <w:pPr>
              <w:pStyle w:val="Title"/>
              <w:shd w:val="clear" w:color="auto" w:fill="FFFFFF"/>
              <w:spacing w:before="0" w:beforeAutospacing="0" w:after="0" w:afterAutospacing="0"/>
              <w:rPr>
                <w:rFonts w:ascii="Calibri" w:hAnsi="Calibri" w:cs="Arial"/>
                <w:color w:val="000000"/>
                <w:sz w:val="23"/>
                <w:szCs w:val="23"/>
              </w:rPr>
            </w:pPr>
            <w:r w:rsidRPr="0095691D">
              <w:rPr>
                <w:rFonts w:ascii="Calibri" w:hAnsi="Calibri"/>
                <w:sz w:val="23"/>
                <w:szCs w:val="23"/>
              </w:rPr>
              <w:t xml:space="preserve">2. </w:t>
            </w:r>
            <w:hyperlink r:id="rId7" w:history="1">
              <w:r w:rsidRPr="0095691D">
                <w:rPr>
                  <w:rStyle w:val="Hyperlink"/>
                  <w:rFonts w:ascii="Calibri" w:hAnsi="Calibri" w:cs="Arial"/>
                  <w:color w:val="642A8F"/>
                  <w:sz w:val="23"/>
                  <w:szCs w:val="23"/>
                </w:rPr>
                <w:t>Fracture risk following intermission of </w:t>
              </w:r>
              <w:r w:rsidRPr="0095691D">
                <w:rPr>
                  <w:rStyle w:val="Hyperlink"/>
                  <w:rFonts w:ascii="Calibri" w:hAnsi="Calibri" w:cs="Arial"/>
                  <w:b/>
                  <w:bCs/>
                  <w:color w:val="642A8F"/>
                  <w:sz w:val="23"/>
                  <w:szCs w:val="23"/>
                </w:rPr>
                <w:t>osteoporosis</w:t>
              </w:r>
              <w:r w:rsidRPr="0095691D">
                <w:rPr>
                  <w:rStyle w:val="Hyperlink"/>
                  <w:rFonts w:ascii="Calibri" w:hAnsi="Calibri" w:cs="Arial"/>
                  <w:color w:val="642A8F"/>
                  <w:sz w:val="23"/>
                  <w:szCs w:val="23"/>
                </w:rPr>
                <w:t> </w:t>
              </w:r>
              <w:r w:rsidRPr="0095691D">
                <w:rPr>
                  <w:rStyle w:val="Hyperlink"/>
                  <w:rFonts w:ascii="Calibri" w:hAnsi="Calibri" w:cs="Arial"/>
                  <w:b/>
                  <w:bCs/>
                  <w:color w:val="642A8F"/>
                  <w:sz w:val="23"/>
                  <w:szCs w:val="23"/>
                </w:rPr>
                <w:t>therapy</w:t>
              </w:r>
              <w:r w:rsidRPr="0095691D">
                <w:rPr>
                  <w:rStyle w:val="Hyperlink"/>
                  <w:rFonts w:ascii="Calibri" w:hAnsi="Calibri" w:cs="Arial"/>
                  <w:color w:val="642A8F"/>
                  <w:sz w:val="23"/>
                  <w:szCs w:val="23"/>
                </w:rPr>
                <w:t>.</w:t>
              </w:r>
            </w:hyperlink>
          </w:p>
          <w:p w14:paraId="0A8B99A4" w14:textId="77777777" w:rsidR="0095691D" w:rsidRPr="0095691D" w:rsidRDefault="0095691D" w:rsidP="00CD7995">
            <w:pPr>
              <w:pStyle w:val="desc"/>
              <w:shd w:val="clear" w:color="auto" w:fill="FFFFFF"/>
              <w:spacing w:before="0" w:beforeAutospacing="0" w:after="0" w:afterAutospacing="0"/>
              <w:rPr>
                <w:rFonts w:ascii="Calibri" w:hAnsi="Calibri" w:cs="Arial"/>
                <w:color w:val="000000"/>
                <w:sz w:val="23"/>
                <w:szCs w:val="23"/>
              </w:rPr>
            </w:pPr>
            <w:r w:rsidRPr="0095691D">
              <w:rPr>
                <w:rFonts w:ascii="Calibri" w:hAnsi="Calibri" w:cs="Arial"/>
                <w:color w:val="000000"/>
                <w:sz w:val="23"/>
                <w:szCs w:val="23"/>
              </w:rPr>
              <w:t xml:space="preserve">Dennison EM, Cooper C, </w:t>
            </w:r>
            <w:proofErr w:type="spellStart"/>
            <w:r w:rsidRPr="0095691D">
              <w:rPr>
                <w:rFonts w:ascii="Calibri" w:hAnsi="Calibri" w:cs="Arial"/>
                <w:color w:val="000000"/>
                <w:sz w:val="23"/>
                <w:szCs w:val="23"/>
              </w:rPr>
              <w:t>Kanis</w:t>
            </w:r>
            <w:proofErr w:type="spellEnd"/>
            <w:r w:rsidRPr="0095691D">
              <w:rPr>
                <w:rFonts w:ascii="Calibri" w:hAnsi="Calibri" w:cs="Arial"/>
                <w:color w:val="000000"/>
                <w:sz w:val="23"/>
                <w:szCs w:val="23"/>
              </w:rPr>
              <w:t xml:space="preserve"> JA, </w:t>
            </w:r>
            <w:proofErr w:type="spellStart"/>
            <w:r w:rsidRPr="0095691D">
              <w:rPr>
                <w:rFonts w:ascii="Calibri" w:hAnsi="Calibri" w:cs="Arial"/>
                <w:color w:val="000000"/>
                <w:sz w:val="23"/>
                <w:szCs w:val="23"/>
              </w:rPr>
              <w:t>Bruyère</w:t>
            </w:r>
            <w:proofErr w:type="spellEnd"/>
            <w:r w:rsidRPr="0095691D">
              <w:rPr>
                <w:rFonts w:ascii="Calibri" w:hAnsi="Calibri" w:cs="Arial"/>
                <w:color w:val="000000"/>
                <w:sz w:val="23"/>
                <w:szCs w:val="23"/>
              </w:rPr>
              <w:t xml:space="preserve"> O, Silverman S, McCloskey E, Abrahamsen B, </w:t>
            </w:r>
            <w:proofErr w:type="spellStart"/>
            <w:r w:rsidRPr="0095691D">
              <w:rPr>
                <w:rFonts w:ascii="Calibri" w:hAnsi="Calibri" w:cs="Arial"/>
                <w:color w:val="000000"/>
                <w:sz w:val="23"/>
                <w:szCs w:val="23"/>
              </w:rPr>
              <w:t>Prieto</w:t>
            </w:r>
            <w:proofErr w:type="spellEnd"/>
            <w:r w:rsidRPr="0095691D">
              <w:rPr>
                <w:rFonts w:ascii="Calibri" w:hAnsi="Calibri" w:cs="Arial"/>
                <w:color w:val="000000"/>
                <w:sz w:val="23"/>
                <w:szCs w:val="23"/>
              </w:rPr>
              <w:t>-Alhambra D, Ferrari S; IOF Epidemiology/Quality of Life Working Group.</w:t>
            </w:r>
          </w:p>
          <w:p w14:paraId="2891E559" w14:textId="77777777" w:rsidR="0095691D" w:rsidRPr="0095691D" w:rsidRDefault="0095691D" w:rsidP="00CD7995">
            <w:pPr>
              <w:pStyle w:val="details"/>
              <w:shd w:val="clear" w:color="auto" w:fill="FFFFFF"/>
              <w:spacing w:before="0" w:beforeAutospacing="0" w:after="0" w:afterAutospacing="0"/>
              <w:rPr>
                <w:rFonts w:ascii="Calibri" w:hAnsi="Calibri" w:cs="Arial"/>
                <w:color w:val="000000"/>
                <w:sz w:val="23"/>
                <w:szCs w:val="23"/>
              </w:rPr>
            </w:pPr>
            <w:proofErr w:type="spellStart"/>
            <w:r w:rsidRPr="0095691D">
              <w:rPr>
                <w:rStyle w:val="jrnl"/>
                <w:rFonts w:ascii="Calibri" w:hAnsi="Calibri" w:cs="Arial"/>
                <w:color w:val="000000"/>
                <w:sz w:val="23"/>
                <w:szCs w:val="23"/>
              </w:rPr>
              <w:t>Osteoporos</w:t>
            </w:r>
            <w:proofErr w:type="spellEnd"/>
            <w:r w:rsidRPr="0095691D">
              <w:rPr>
                <w:rStyle w:val="jrnl"/>
                <w:rFonts w:ascii="Calibri" w:hAnsi="Calibri" w:cs="Arial"/>
                <w:color w:val="000000"/>
                <w:sz w:val="23"/>
                <w:szCs w:val="23"/>
              </w:rPr>
              <w:t xml:space="preserve"> Int</w:t>
            </w:r>
            <w:r w:rsidRPr="0095691D">
              <w:rPr>
                <w:rFonts w:ascii="Calibri" w:hAnsi="Calibri" w:cs="Arial"/>
                <w:color w:val="000000"/>
                <w:sz w:val="23"/>
                <w:szCs w:val="23"/>
              </w:rPr>
              <w:t xml:space="preserve">. 2019 Jun 7. </w:t>
            </w:r>
            <w:proofErr w:type="spellStart"/>
            <w:proofErr w:type="gramStart"/>
            <w:r w:rsidRPr="0095691D">
              <w:rPr>
                <w:rFonts w:ascii="Calibri" w:hAnsi="Calibri" w:cs="Arial"/>
                <w:color w:val="000000"/>
                <w:sz w:val="23"/>
                <w:szCs w:val="23"/>
              </w:rPr>
              <w:t>doi</w:t>
            </w:r>
            <w:proofErr w:type="spellEnd"/>
            <w:proofErr w:type="gramEnd"/>
            <w:r w:rsidRPr="0095691D">
              <w:rPr>
                <w:rFonts w:ascii="Calibri" w:hAnsi="Calibri" w:cs="Arial"/>
                <w:color w:val="000000"/>
                <w:sz w:val="23"/>
                <w:szCs w:val="23"/>
              </w:rPr>
              <w:t>: 10.1007/s00198-019-05002-w. [</w:t>
            </w:r>
            <w:proofErr w:type="spellStart"/>
            <w:r w:rsidRPr="0095691D">
              <w:rPr>
                <w:rFonts w:ascii="Calibri" w:hAnsi="Calibri" w:cs="Arial"/>
                <w:color w:val="000000"/>
                <w:sz w:val="23"/>
                <w:szCs w:val="23"/>
              </w:rPr>
              <w:t>Epub</w:t>
            </w:r>
            <w:proofErr w:type="spellEnd"/>
            <w:r w:rsidRPr="0095691D">
              <w:rPr>
                <w:rFonts w:ascii="Calibri" w:hAnsi="Calibri" w:cs="Arial"/>
                <w:color w:val="000000"/>
                <w:sz w:val="23"/>
                <w:szCs w:val="23"/>
              </w:rPr>
              <w:t xml:space="preserve"> ahead of print]</w:t>
            </w:r>
          </w:p>
          <w:p w14:paraId="001846BA" w14:textId="77777777" w:rsidR="0095691D" w:rsidRPr="0095691D" w:rsidRDefault="0095691D" w:rsidP="00CD7995">
            <w:pPr>
              <w:shd w:val="clear" w:color="auto" w:fill="FFFFFF"/>
              <w:spacing w:line="336" w:lineRule="atLeast"/>
              <w:ind w:right="225"/>
              <w:rPr>
                <w:rFonts w:ascii="Calibri" w:eastAsia="Times New Roman" w:hAnsi="Calibri" w:cs="Arial"/>
                <w:color w:val="575757"/>
                <w:sz w:val="23"/>
                <w:szCs w:val="23"/>
              </w:rPr>
            </w:pPr>
            <w:r w:rsidRPr="0095691D">
              <w:rPr>
                <w:rFonts w:ascii="Calibri" w:eastAsia="Times New Roman" w:hAnsi="Calibri" w:cs="Arial"/>
                <w:color w:val="575757"/>
                <w:sz w:val="23"/>
                <w:szCs w:val="23"/>
              </w:rPr>
              <w:t>PMID: 31175404</w:t>
            </w:r>
          </w:p>
        </w:tc>
      </w:tr>
      <w:tr w:rsidR="0095691D" w:rsidRPr="0095691D" w14:paraId="25C650E4" w14:textId="77777777" w:rsidTr="00CD7995">
        <w:tc>
          <w:tcPr>
            <w:tcW w:w="1278" w:type="dxa"/>
          </w:tcPr>
          <w:sdt>
            <w:sdtPr>
              <w:rPr>
                <w:rFonts w:ascii="Calibri" w:hAnsi="Calibri"/>
                <w:sz w:val="23"/>
                <w:szCs w:val="23"/>
              </w:rPr>
              <w:tag w:val="goog_rdk_117"/>
              <w:id w:val="-308489193"/>
            </w:sdtPr>
            <w:sdtEndPr/>
            <w:sdtContent>
              <w:p w14:paraId="35725105" w14:textId="77777777" w:rsidR="0095691D" w:rsidRPr="0095691D" w:rsidRDefault="0095691D" w:rsidP="00CD7995">
                <w:pPr>
                  <w:rPr>
                    <w:rFonts w:ascii="Calibri" w:hAnsi="Calibri"/>
                    <w:b/>
                    <w:sz w:val="23"/>
                    <w:szCs w:val="23"/>
                  </w:rPr>
                </w:pPr>
                <w:r w:rsidRPr="0095691D">
                  <w:rPr>
                    <w:rFonts w:ascii="Calibri" w:hAnsi="Calibri"/>
                    <w:b/>
                    <w:sz w:val="23"/>
                    <w:szCs w:val="23"/>
                  </w:rPr>
                  <w:t>Abstract</w:t>
                </w:r>
              </w:p>
            </w:sdtContent>
          </w:sdt>
        </w:tc>
        <w:tc>
          <w:tcPr>
            <w:tcW w:w="8298" w:type="dxa"/>
          </w:tcPr>
          <w:p w14:paraId="7D9AF784" w14:textId="77777777" w:rsidR="0095691D" w:rsidRPr="0095691D" w:rsidRDefault="0095691D" w:rsidP="00CD7995">
            <w:pPr>
              <w:pStyle w:val="Heading3"/>
              <w:shd w:val="clear" w:color="auto" w:fill="FFFFFF"/>
              <w:spacing w:before="0" w:beforeAutospacing="0" w:after="0" w:afterAutospacing="0"/>
              <w:rPr>
                <w:rFonts w:ascii="Calibri" w:eastAsia="Times New Roman" w:hAnsi="Calibri" w:cs="Arial"/>
                <w:color w:val="985735"/>
                <w:sz w:val="23"/>
                <w:szCs w:val="23"/>
              </w:rPr>
            </w:pPr>
            <w:r w:rsidRPr="0095691D">
              <w:rPr>
                <w:rFonts w:ascii="Calibri" w:eastAsia="Times New Roman" w:hAnsi="Calibri" w:cs="Arial"/>
                <w:color w:val="985735"/>
                <w:sz w:val="23"/>
                <w:szCs w:val="23"/>
              </w:rPr>
              <w:t>Abstract</w:t>
            </w:r>
          </w:p>
          <w:p w14:paraId="3D1686D4" w14:textId="77777777" w:rsidR="0095691D" w:rsidRPr="0095691D" w:rsidRDefault="0095691D" w:rsidP="00CD7995">
            <w:pPr>
              <w:pStyle w:val="NormalWeb"/>
              <w:shd w:val="clear" w:color="auto" w:fill="FFFFFF"/>
              <w:spacing w:before="0" w:beforeAutospacing="0" w:after="120" w:afterAutospacing="0"/>
              <w:rPr>
                <w:rFonts w:ascii="Calibri" w:hAnsi="Calibri" w:cs="Arial"/>
                <w:color w:val="000000"/>
                <w:sz w:val="23"/>
                <w:szCs w:val="23"/>
              </w:rPr>
            </w:pPr>
            <w:r w:rsidRPr="0095691D">
              <w:rPr>
                <w:rFonts w:ascii="Calibri" w:hAnsi="Calibri" w:cs="Arial"/>
                <w:color w:val="000000"/>
                <w:sz w:val="23"/>
                <w:szCs w:val="23"/>
              </w:rPr>
              <w:t>Given the widespread practice of recommending </w:t>
            </w:r>
            <w:r w:rsidRPr="0095691D">
              <w:rPr>
                <w:rStyle w:val="highlight"/>
                <w:rFonts w:ascii="Calibri" w:hAnsi="Calibri" w:cs="Arial"/>
                <w:color w:val="000000"/>
                <w:sz w:val="23"/>
                <w:szCs w:val="23"/>
              </w:rPr>
              <w:t>drug</w:t>
            </w:r>
            <w:r w:rsidRPr="0095691D">
              <w:rPr>
                <w:rFonts w:ascii="Calibri" w:hAnsi="Calibri" w:cs="Arial"/>
                <w:color w:val="000000"/>
                <w:sz w:val="23"/>
                <w:szCs w:val="23"/>
              </w:rPr>
              <w:t> </w:t>
            </w:r>
            <w:r w:rsidRPr="0095691D">
              <w:rPr>
                <w:rStyle w:val="highlight"/>
                <w:rFonts w:ascii="Calibri" w:hAnsi="Calibri" w:cs="Arial"/>
                <w:color w:val="000000"/>
                <w:sz w:val="23"/>
                <w:szCs w:val="23"/>
              </w:rPr>
              <w:t>holidays</w:t>
            </w:r>
            <w:r w:rsidRPr="0095691D">
              <w:rPr>
                <w:rFonts w:ascii="Calibri" w:hAnsi="Calibri" w:cs="Arial"/>
                <w:color w:val="000000"/>
                <w:sz w:val="23"/>
                <w:szCs w:val="23"/>
              </w:rPr>
              <w:t>, we reviewed the impact of medication discontinuation of two common anti-</w:t>
            </w:r>
            <w:r w:rsidRPr="0095691D">
              <w:rPr>
                <w:rStyle w:val="highlight"/>
                <w:rFonts w:ascii="Calibri" w:hAnsi="Calibri" w:cs="Arial"/>
                <w:color w:val="000000"/>
                <w:sz w:val="23"/>
                <w:szCs w:val="23"/>
              </w:rPr>
              <w:t>osteoporosis</w:t>
            </w:r>
            <w:r w:rsidRPr="0095691D">
              <w:rPr>
                <w:rFonts w:ascii="Calibri" w:hAnsi="Calibri" w:cs="Arial"/>
                <w:color w:val="000000"/>
                <w:sz w:val="23"/>
                <w:szCs w:val="23"/>
              </w:rPr>
              <w:t xml:space="preserve"> therapies (bisphosphonates and </w:t>
            </w:r>
            <w:proofErr w:type="spellStart"/>
            <w:r w:rsidRPr="0095691D">
              <w:rPr>
                <w:rFonts w:ascii="Calibri" w:hAnsi="Calibri" w:cs="Arial"/>
                <w:color w:val="000000"/>
                <w:sz w:val="23"/>
                <w:szCs w:val="23"/>
              </w:rPr>
              <w:t>denosumab</w:t>
            </w:r>
            <w:proofErr w:type="spellEnd"/>
            <w:r w:rsidRPr="0095691D">
              <w:rPr>
                <w:rFonts w:ascii="Calibri" w:hAnsi="Calibri" w:cs="Arial"/>
                <w:color w:val="000000"/>
                <w:sz w:val="23"/>
                <w:szCs w:val="23"/>
              </w:rPr>
              <w:t>). Trial evidence suggests the risk of new clinical fractures, and vertebral fracture increases when </w:t>
            </w:r>
            <w:r w:rsidRPr="0095691D">
              <w:rPr>
                <w:rStyle w:val="highlight"/>
                <w:rFonts w:ascii="Calibri" w:hAnsi="Calibri" w:cs="Arial"/>
                <w:color w:val="000000"/>
                <w:sz w:val="23"/>
                <w:szCs w:val="23"/>
              </w:rPr>
              <w:t>osteoporosis</w:t>
            </w:r>
            <w:r w:rsidRPr="0095691D">
              <w:rPr>
                <w:rFonts w:ascii="Calibri" w:hAnsi="Calibri" w:cs="Arial"/>
                <w:color w:val="000000"/>
                <w:sz w:val="23"/>
                <w:szCs w:val="23"/>
              </w:rPr>
              <w:t xml:space="preserve"> treatment with bisphosphonates or </w:t>
            </w:r>
            <w:proofErr w:type="spellStart"/>
            <w:r w:rsidRPr="0095691D">
              <w:rPr>
                <w:rFonts w:ascii="Calibri" w:hAnsi="Calibri" w:cs="Arial"/>
                <w:color w:val="000000"/>
                <w:sz w:val="23"/>
                <w:szCs w:val="23"/>
              </w:rPr>
              <w:t>denosumab</w:t>
            </w:r>
            <w:proofErr w:type="spellEnd"/>
            <w:r w:rsidRPr="0095691D">
              <w:rPr>
                <w:rFonts w:ascii="Calibri" w:hAnsi="Calibri" w:cs="Arial"/>
                <w:color w:val="000000"/>
                <w:sz w:val="23"/>
                <w:szCs w:val="23"/>
              </w:rPr>
              <w:t xml:space="preserve"> is stopped.</w:t>
            </w:r>
          </w:p>
          <w:p w14:paraId="243F40DE" w14:textId="77777777" w:rsidR="0095691D" w:rsidRPr="0095691D" w:rsidRDefault="0095691D" w:rsidP="00CD7995">
            <w:pPr>
              <w:pStyle w:val="Heading4"/>
              <w:shd w:val="clear" w:color="auto" w:fill="FFFFFF"/>
              <w:spacing w:before="0" w:beforeAutospacing="0" w:after="0" w:afterAutospacing="0"/>
              <w:ind w:right="60"/>
              <w:rPr>
                <w:rFonts w:ascii="Calibri" w:eastAsia="Times New Roman" w:hAnsi="Calibri" w:cs="Arial"/>
                <w:caps/>
                <w:color w:val="000000"/>
                <w:sz w:val="23"/>
                <w:szCs w:val="23"/>
              </w:rPr>
            </w:pPr>
            <w:r w:rsidRPr="0095691D">
              <w:rPr>
                <w:rFonts w:ascii="Calibri" w:eastAsia="Times New Roman" w:hAnsi="Calibri" w:cs="Arial"/>
                <w:caps/>
                <w:color w:val="000000"/>
                <w:sz w:val="23"/>
                <w:szCs w:val="23"/>
              </w:rPr>
              <w:t>INTRODUCTION:</w:t>
            </w:r>
          </w:p>
          <w:p w14:paraId="29A853ED" w14:textId="77777777" w:rsidR="0095691D" w:rsidRPr="0095691D" w:rsidRDefault="0095691D" w:rsidP="00CD7995">
            <w:pPr>
              <w:pStyle w:val="NormalWeb"/>
              <w:shd w:val="clear" w:color="auto" w:fill="FFFFFF"/>
              <w:spacing w:before="0" w:beforeAutospacing="0" w:after="120" w:afterAutospacing="0"/>
              <w:rPr>
                <w:rFonts w:ascii="Calibri" w:hAnsi="Calibri" w:cs="Arial"/>
                <w:color w:val="000000"/>
                <w:sz w:val="23"/>
                <w:szCs w:val="23"/>
              </w:rPr>
            </w:pPr>
            <w:r w:rsidRPr="0095691D">
              <w:rPr>
                <w:rFonts w:ascii="Calibri" w:hAnsi="Calibri" w:cs="Arial"/>
                <w:color w:val="000000"/>
                <w:sz w:val="23"/>
                <w:szCs w:val="23"/>
              </w:rPr>
              <w:t>The aim of this paper was to review the available literature to assess what evidence exists to inform clinical decision-making with regard to </w:t>
            </w:r>
            <w:r w:rsidRPr="0095691D">
              <w:rPr>
                <w:rStyle w:val="highlight"/>
                <w:rFonts w:ascii="Calibri" w:hAnsi="Calibri" w:cs="Arial"/>
                <w:color w:val="000000"/>
                <w:sz w:val="23"/>
                <w:szCs w:val="23"/>
              </w:rPr>
              <w:t>drug</w:t>
            </w:r>
            <w:r w:rsidRPr="0095691D">
              <w:rPr>
                <w:rFonts w:ascii="Calibri" w:hAnsi="Calibri" w:cs="Arial"/>
                <w:color w:val="000000"/>
                <w:sz w:val="23"/>
                <w:szCs w:val="23"/>
              </w:rPr>
              <w:t> </w:t>
            </w:r>
            <w:r w:rsidRPr="0095691D">
              <w:rPr>
                <w:rStyle w:val="highlight"/>
                <w:rFonts w:ascii="Calibri" w:hAnsi="Calibri" w:cs="Arial"/>
                <w:color w:val="000000"/>
                <w:sz w:val="23"/>
                <w:szCs w:val="23"/>
              </w:rPr>
              <w:t>holidays</w:t>
            </w:r>
            <w:r w:rsidRPr="0095691D">
              <w:rPr>
                <w:rFonts w:ascii="Calibri" w:hAnsi="Calibri" w:cs="Arial"/>
                <w:color w:val="000000"/>
                <w:sz w:val="23"/>
                <w:szCs w:val="23"/>
              </w:rPr>
              <w:t> following treatment with bisphosphonates (</w:t>
            </w:r>
            <w:proofErr w:type="spellStart"/>
            <w:r w:rsidRPr="0095691D">
              <w:rPr>
                <w:rFonts w:ascii="Calibri" w:hAnsi="Calibri" w:cs="Arial"/>
                <w:color w:val="000000"/>
                <w:sz w:val="23"/>
                <w:szCs w:val="23"/>
              </w:rPr>
              <w:t>BiP</w:t>
            </w:r>
            <w:proofErr w:type="spellEnd"/>
            <w:r w:rsidRPr="0095691D">
              <w:rPr>
                <w:rFonts w:ascii="Calibri" w:hAnsi="Calibri" w:cs="Arial"/>
                <w:color w:val="000000"/>
                <w:sz w:val="23"/>
                <w:szCs w:val="23"/>
              </w:rPr>
              <w:t xml:space="preserve">) or </w:t>
            </w:r>
            <w:proofErr w:type="spellStart"/>
            <w:r w:rsidRPr="0095691D">
              <w:rPr>
                <w:rFonts w:ascii="Calibri" w:hAnsi="Calibri" w:cs="Arial"/>
                <w:color w:val="000000"/>
                <w:sz w:val="23"/>
                <w:szCs w:val="23"/>
              </w:rPr>
              <w:t>denosumab</w:t>
            </w:r>
            <w:proofErr w:type="spellEnd"/>
            <w:r w:rsidRPr="0095691D">
              <w:rPr>
                <w:rFonts w:ascii="Calibri" w:hAnsi="Calibri" w:cs="Arial"/>
                <w:color w:val="000000"/>
                <w:sz w:val="23"/>
                <w:szCs w:val="23"/>
              </w:rPr>
              <w:t>.</w:t>
            </w:r>
          </w:p>
          <w:p w14:paraId="39A86551" w14:textId="77777777" w:rsidR="0095691D" w:rsidRPr="0095691D" w:rsidRDefault="0095691D" w:rsidP="00CD7995">
            <w:pPr>
              <w:pStyle w:val="Heading4"/>
              <w:shd w:val="clear" w:color="auto" w:fill="FFFFFF"/>
              <w:spacing w:before="0" w:beforeAutospacing="0" w:after="0" w:afterAutospacing="0"/>
              <w:ind w:right="60"/>
              <w:rPr>
                <w:rFonts w:ascii="Calibri" w:eastAsia="Times New Roman" w:hAnsi="Calibri" w:cs="Arial"/>
                <w:caps/>
                <w:color w:val="000000"/>
                <w:sz w:val="23"/>
                <w:szCs w:val="23"/>
              </w:rPr>
            </w:pPr>
            <w:r w:rsidRPr="0095691D">
              <w:rPr>
                <w:rFonts w:ascii="Calibri" w:eastAsia="Times New Roman" w:hAnsi="Calibri" w:cs="Arial"/>
                <w:caps/>
                <w:color w:val="000000"/>
                <w:sz w:val="23"/>
                <w:szCs w:val="23"/>
              </w:rPr>
              <w:t>METHODS:</w:t>
            </w:r>
          </w:p>
          <w:p w14:paraId="0C43B370" w14:textId="77777777" w:rsidR="0095691D" w:rsidRPr="0095691D" w:rsidRDefault="0095691D" w:rsidP="00CD7995">
            <w:pPr>
              <w:pStyle w:val="NormalWeb"/>
              <w:shd w:val="clear" w:color="auto" w:fill="FFFFFF"/>
              <w:spacing w:before="0" w:beforeAutospacing="0" w:after="120" w:afterAutospacing="0"/>
              <w:rPr>
                <w:rFonts w:ascii="Calibri" w:hAnsi="Calibri" w:cs="Arial"/>
                <w:color w:val="000000"/>
                <w:sz w:val="23"/>
                <w:szCs w:val="23"/>
              </w:rPr>
            </w:pPr>
            <w:r w:rsidRPr="0095691D">
              <w:rPr>
                <w:rFonts w:ascii="Calibri" w:hAnsi="Calibri" w:cs="Arial"/>
                <w:color w:val="000000"/>
                <w:sz w:val="23"/>
                <w:szCs w:val="23"/>
              </w:rPr>
              <w:t>Systematic review.</w:t>
            </w:r>
          </w:p>
          <w:p w14:paraId="1C478F74" w14:textId="77777777" w:rsidR="0095691D" w:rsidRPr="0095691D" w:rsidRDefault="0095691D" w:rsidP="00CD7995">
            <w:pPr>
              <w:pStyle w:val="Heading4"/>
              <w:shd w:val="clear" w:color="auto" w:fill="FFFFFF"/>
              <w:spacing w:before="0" w:beforeAutospacing="0" w:after="0" w:afterAutospacing="0"/>
              <w:ind w:right="60"/>
              <w:rPr>
                <w:rFonts w:ascii="Calibri" w:eastAsia="Times New Roman" w:hAnsi="Calibri" w:cs="Arial"/>
                <w:caps/>
                <w:color w:val="000000"/>
                <w:sz w:val="23"/>
                <w:szCs w:val="23"/>
              </w:rPr>
            </w:pPr>
            <w:r w:rsidRPr="0095691D">
              <w:rPr>
                <w:rFonts w:ascii="Calibri" w:eastAsia="Times New Roman" w:hAnsi="Calibri" w:cs="Arial"/>
                <w:caps/>
                <w:color w:val="000000"/>
                <w:sz w:val="23"/>
                <w:szCs w:val="23"/>
              </w:rPr>
              <w:t>RESULTS:</w:t>
            </w:r>
          </w:p>
          <w:p w14:paraId="00571EB9" w14:textId="77777777" w:rsidR="0095691D" w:rsidRPr="0095691D" w:rsidRDefault="0095691D" w:rsidP="00CD7995">
            <w:pPr>
              <w:pStyle w:val="NormalWeb"/>
              <w:shd w:val="clear" w:color="auto" w:fill="FFFFFF"/>
              <w:spacing w:before="0" w:beforeAutospacing="0" w:after="120" w:afterAutospacing="0"/>
              <w:rPr>
                <w:rFonts w:ascii="Calibri" w:hAnsi="Calibri" w:cs="Arial"/>
                <w:color w:val="000000"/>
                <w:sz w:val="23"/>
                <w:szCs w:val="23"/>
              </w:rPr>
            </w:pPr>
            <w:r w:rsidRPr="0095691D">
              <w:rPr>
                <w:rFonts w:ascii="Calibri" w:hAnsi="Calibri" w:cs="Arial"/>
                <w:color w:val="000000"/>
                <w:sz w:val="23"/>
                <w:szCs w:val="23"/>
              </w:rPr>
              <w:t>Differing pharmacokinetics lead to varying outcomes on stopping </w:t>
            </w:r>
            <w:r w:rsidRPr="0095691D">
              <w:rPr>
                <w:rStyle w:val="highlight"/>
                <w:rFonts w:ascii="Calibri" w:hAnsi="Calibri" w:cs="Arial"/>
                <w:color w:val="000000"/>
                <w:sz w:val="23"/>
                <w:szCs w:val="23"/>
              </w:rPr>
              <w:t>therapy</w:t>
            </w:r>
            <w:r w:rsidRPr="0095691D">
              <w:rPr>
                <w:rFonts w:ascii="Calibri" w:hAnsi="Calibri" w:cs="Arial"/>
                <w:color w:val="000000"/>
                <w:sz w:val="23"/>
                <w:szCs w:val="23"/>
              </w:rPr>
              <w:t xml:space="preserve">. Prospective and retrospective analyses report that the risk of new clinical fractures was 20-40% higher in subjects who stopped </w:t>
            </w:r>
            <w:proofErr w:type="spellStart"/>
            <w:r w:rsidRPr="0095691D">
              <w:rPr>
                <w:rFonts w:ascii="Calibri" w:hAnsi="Calibri" w:cs="Arial"/>
                <w:color w:val="000000"/>
                <w:sz w:val="23"/>
                <w:szCs w:val="23"/>
              </w:rPr>
              <w:t>BiP</w:t>
            </w:r>
            <w:proofErr w:type="spellEnd"/>
            <w:r w:rsidRPr="0095691D">
              <w:rPr>
                <w:rFonts w:ascii="Calibri" w:hAnsi="Calibri" w:cs="Arial"/>
                <w:color w:val="000000"/>
                <w:sz w:val="23"/>
                <w:szCs w:val="23"/>
              </w:rPr>
              <w:t xml:space="preserve"> treatment, and vertebral fracture risk was approximately doubled. Rapid bone loss has been well described following </w:t>
            </w:r>
            <w:proofErr w:type="spellStart"/>
            <w:r w:rsidRPr="0095691D">
              <w:rPr>
                <w:rFonts w:ascii="Calibri" w:hAnsi="Calibri" w:cs="Arial"/>
                <w:color w:val="000000"/>
                <w:sz w:val="23"/>
                <w:szCs w:val="23"/>
              </w:rPr>
              <w:t>denosumab</w:t>
            </w:r>
            <w:proofErr w:type="spellEnd"/>
            <w:r w:rsidRPr="0095691D">
              <w:rPr>
                <w:rFonts w:ascii="Calibri" w:hAnsi="Calibri" w:cs="Arial"/>
                <w:color w:val="000000"/>
                <w:sz w:val="23"/>
                <w:szCs w:val="23"/>
              </w:rPr>
              <w:t xml:space="preserve"> discontinuation with an incidence of multiple vertebral fractures around 5%. Studies have not identified risk factors for fracture after stopping treatment other than those that provide an indication for treatment (e.g. prior fracture and low BMD). Studies that considered </w:t>
            </w:r>
            <w:r w:rsidRPr="0095691D">
              <w:rPr>
                <w:rStyle w:val="highlight"/>
                <w:rFonts w:ascii="Calibri" w:hAnsi="Calibri" w:cs="Arial"/>
                <w:color w:val="000000"/>
                <w:sz w:val="23"/>
                <w:szCs w:val="23"/>
              </w:rPr>
              <w:t>long-term</w:t>
            </w:r>
            <w:r w:rsidRPr="0095691D">
              <w:rPr>
                <w:rFonts w:ascii="Calibri" w:hAnsi="Calibri" w:cs="Arial"/>
                <w:color w:val="000000"/>
                <w:sz w:val="23"/>
                <w:szCs w:val="23"/>
              </w:rPr>
              <w:t> continuation did not identify increased fracture risk, and reported only very low rates of adverse skeletal events such as atypical femoral fracture.</w:t>
            </w:r>
          </w:p>
          <w:p w14:paraId="294260EC" w14:textId="77777777" w:rsidR="0095691D" w:rsidRPr="0095691D" w:rsidRDefault="0095691D" w:rsidP="00CD7995">
            <w:pPr>
              <w:pStyle w:val="Heading4"/>
              <w:shd w:val="clear" w:color="auto" w:fill="FFFFFF"/>
              <w:spacing w:before="0" w:beforeAutospacing="0" w:after="0" w:afterAutospacing="0"/>
              <w:ind w:right="60"/>
              <w:rPr>
                <w:rFonts w:ascii="Calibri" w:eastAsia="Times New Roman" w:hAnsi="Calibri" w:cs="Arial"/>
                <w:caps/>
                <w:color w:val="000000"/>
                <w:sz w:val="23"/>
                <w:szCs w:val="23"/>
              </w:rPr>
            </w:pPr>
            <w:r w:rsidRPr="0095691D">
              <w:rPr>
                <w:rFonts w:ascii="Calibri" w:eastAsia="Times New Roman" w:hAnsi="Calibri" w:cs="Arial"/>
                <w:caps/>
                <w:color w:val="000000"/>
                <w:sz w:val="23"/>
                <w:szCs w:val="23"/>
              </w:rPr>
              <w:t>CONCLUSIONS:</w:t>
            </w:r>
          </w:p>
          <w:p w14:paraId="728CFCAC" w14:textId="77777777" w:rsidR="0095691D" w:rsidRPr="0095691D" w:rsidRDefault="0095691D" w:rsidP="00CD7995">
            <w:pPr>
              <w:pStyle w:val="NormalWeb"/>
              <w:shd w:val="clear" w:color="auto" w:fill="FFFFFF"/>
              <w:spacing w:before="0" w:beforeAutospacing="0" w:after="120" w:afterAutospacing="0"/>
              <w:rPr>
                <w:rFonts w:ascii="Calibri" w:hAnsi="Calibri" w:cs="Arial"/>
                <w:color w:val="000000"/>
                <w:sz w:val="23"/>
                <w:szCs w:val="23"/>
              </w:rPr>
            </w:pPr>
            <w:r w:rsidRPr="0095691D">
              <w:rPr>
                <w:rFonts w:ascii="Calibri" w:hAnsi="Calibri" w:cs="Arial"/>
                <w:color w:val="000000"/>
                <w:sz w:val="23"/>
                <w:szCs w:val="23"/>
              </w:rPr>
              <w:t>The view that patients on </w:t>
            </w:r>
            <w:r w:rsidRPr="0095691D">
              <w:rPr>
                <w:rStyle w:val="highlight"/>
                <w:rFonts w:ascii="Calibri" w:hAnsi="Calibri" w:cs="Arial"/>
                <w:color w:val="000000"/>
                <w:sz w:val="23"/>
                <w:szCs w:val="23"/>
              </w:rPr>
              <w:t>long-term</w:t>
            </w:r>
            <w:r w:rsidRPr="0095691D">
              <w:rPr>
                <w:rFonts w:ascii="Calibri" w:hAnsi="Calibri" w:cs="Arial"/>
                <w:color w:val="000000"/>
                <w:sz w:val="23"/>
                <w:szCs w:val="23"/>
              </w:rPr>
              <w:t xml:space="preserve"> treatment with bisphosphonates or </w:t>
            </w:r>
            <w:proofErr w:type="spellStart"/>
            <w:r w:rsidRPr="0095691D">
              <w:rPr>
                <w:rFonts w:ascii="Calibri" w:hAnsi="Calibri" w:cs="Arial"/>
                <w:color w:val="000000"/>
                <w:sz w:val="23"/>
                <w:szCs w:val="23"/>
              </w:rPr>
              <w:t>denosumab</w:t>
            </w:r>
            <w:proofErr w:type="spellEnd"/>
            <w:r w:rsidRPr="0095691D">
              <w:rPr>
                <w:rFonts w:ascii="Calibri" w:hAnsi="Calibri" w:cs="Arial"/>
                <w:color w:val="000000"/>
                <w:sz w:val="23"/>
                <w:szCs w:val="23"/>
              </w:rPr>
              <w:t xml:space="preserve"> should always be offered </w:t>
            </w:r>
            <w:proofErr w:type="gramStart"/>
            <w:r w:rsidRPr="0095691D">
              <w:rPr>
                <w:rFonts w:ascii="Calibri" w:hAnsi="Calibri" w:cs="Arial"/>
                <w:color w:val="000000"/>
                <w:sz w:val="23"/>
                <w:szCs w:val="23"/>
              </w:rPr>
              <w:t>a </w:t>
            </w:r>
            <w:r w:rsidRPr="0095691D">
              <w:rPr>
                <w:rStyle w:val="highlight"/>
                <w:rFonts w:ascii="Calibri" w:hAnsi="Calibri" w:cs="Arial"/>
                <w:color w:val="000000"/>
                <w:sz w:val="23"/>
                <w:szCs w:val="23"/>
              </w:rPr>
              <w:t>drug</w:t>
            </w:r>
            <w:r w:rsidRPr="0095691D">
              <w:rPr>
                <w:rFonts w:ascii="Calibri" w:hAnsi="Calibri" w:cs="Arial"/>
                <w:color w:val="000000"/>
                <w:sz w:val="23"/>
                <w:szCs w:val="23"/>
              </w:rPr>
              <w:t> holiday is not supported by the existing evidence</w:t>
            </w:r>
            <w:proofErr w:type="gramEnd"/>
            <w:r w:rsidRPr="0095691D">
              <w:rPr>
                <w:rFonts w:ascii="Calibri" w:hAnsi="Calibri" w:cs="Arial"/>
                <w:color w:val="000000"/>
                <w:sz w:val="23"/>
                <w:szCs w:val="23"/>
              </w:rPr>
              <w:t>. Different pharmacokinetic properties for different therapies require different strategies to manage </w:t>
            </w:r>
            <w:r w:rsidRPr="0095691D">
              <w:rPr>
                <w:rStyle w:val="highlight"/>
                <w:rFonts w:ascii="Calibri" w:hAnsi="Calibri" w:cs="Arial"/>
                <w:color w:val="000000"/>
                <w:sz w:val="23"/>
                <w:szCs w:val="23"/>
              </w:rPr>
              <w:t>drug</w:t>
            </w:r>
            <w:r w:rsidRPr="0095691D">
              <w:rPr>
                <w:rFonts w:ascii="Calibri" w:hAnsi="Calibri" w:cs="Arial"/>
                <w:color w:val="000000"/>
                <w:sz w:val="23"/>
                <w:szCs w:val="23"/>
              </w:rPr>
              <w:t> intermission. In contrast, </w:t>
            </w:r>
            <w:r w:rsidRPr="0095691D">
              <w:rPr>
                <w:rStyle w:val="highlight"/>
                <w:rFonts w:ascii="Calibri" w:hAnsi="Calibri" w:cs="Arial"/>
                <w:color w:val="000000"/>
                <w:sz w:val="23"/>
                <w:szCs w:val="23"/>
              </w:rPr>
              <w:t>long-term</w:t>
            </w:r>
            <w:r w:rsidRPr="0095691D">
              <w:rPr>
                <w:rFonts w:ascii="Calibri" w:hAnsi="Calibri" w:cs="Arial"/>
                <w:color w:val="000000"/>
                <w:sz w:val="23"/>
                <w:szCs w:val="23"/>
              </w:rPr>
              <w:t> treatment with anti-</w:t>
            </w:r>
            <w:proofErr w:type="spellStart"/>
            <w:r w:rsidRPr="0095691D">
              <w:rPr>
                <w:rFonts w:ascii="Calibri" w:hAnsi="Calibri" w:cs="Arial"/>
                <w:color w:val="000000"/>
                <w:sz w:val="23"/>
                <w:szCs w:val="23"/>
              </w:rPr>
              <w:t>resorptives</w:t>
            </w:r>
            <w:proofErr w:type="spellEnd"/>
            <w:r w:rsidRPr="0095691D">
              <w:rPr>
                <w:rFonts w:ascii="Calibri" w:hAnsi="Calibri" w:cs="Arial"/>
                <w:color w:val="000000"/>
                <w:sz w:val="23"/>
                <w:szCs w:val="23"/>
              </w:rPr>
              <w:t xml:space="preserve"> is not associated with increased risk of fragility fractures and skeletal adverse events remain rare.</w:t>
            </w:r>
          </w:p>
        </w:tc>
      </w:tr>
      <w:tr w:rsidR="0095691D" w:rsidRPr="0095691D" w14:paraId="1C46565F" w14:textId="77777777" w:rsidTr="00CD7995">
        <w:tc>
          <w:tcPr>
            <w:tcW w:w="1278" w:type="dxa"/>
          </w:tcPr>
          <w:sdt>
            <w:sdtPr>
              <w:rPr>
                <w:rFonts w:ascii="Calibri" w:hAnsi="Calibri"/>
                <w:sz w:val="23"/>
                <w:szCs w:val="23"/>
              </w:rPr>
              <w:tag w:val="goog_rdk_137"/>
              <w:id w:val="-506520397"/>
            </w:sdtPr>
            <w:sdtEndPr/>
            <w:sdtContent>
              <w:p w14:paraId="09294EAE" w14:textId="77777777" w:rsidR="0095691D" w:rsidRPr="0095691D" w:rsidRDefault="0095691D" w:rsidP="00CD7995">
                <w:pPr>
                  <w:rPr>
                    <w:rFonts w:ascii="Calibri" w:hAnsi="Calibri"/>
                    <w:b/>
                    <w:sz w:val="23"/>
                    <w:szCs w:val="23"/>
                  </w:rPr>
                </w:pPr>
                <w:r w:rsidRPr="0095691D">
                  <w:rPr>
                    <w:rFonts w:ascii="Calibri" w:hAnsi="Calibri"/>
                    <w:b/>
                    <w:sz w:val="23"/>
                    <w:szCs w:val="23"/>
                  </w:rPr>
                  <w:t>PDF Link</w:t>
                </w:r>
              </w:p>
            </w:sdtContent>
          </w:sdt>
        </w:tc>
        <w:tc>
          <w:tcPr>
            <w:tcW w:w="8298" w:type="dxa"/>
          </w:tcPr>
          <w:sdt>
            <w:sdtPr>
              <w:rPr>
                <w:rFonts w:ascii="Calibri" w:hAnsi="Calibri"/>
                <w:sz w:val="23"/>
                <w:szCs w:val="23"/>
              </w:rPr>
              <w:tag w:val="goog_rdk_138"/>
              <w:id w:val="1217473794"/>
            </w:sdtPr>
            <w:sdtEndPr/>
            <w:sdtContent>
              <w:p w14:paraId="10BC20E3" w14:textId="77777777" w:rsidR="0095691D" w:rsidRPr="0095691D" w:rsidRDefault="0095691D" w:rsidP="00CD7995">
                <w:pPr>
                  <w:rPr>
                    <w:rFonts w:ascii="Calibri" w:hAnsi="Calibri"/>
                    <w:sz w:val="23"/>
                    <w:szCs w:val="23"/>
                  </w:rPr>
                </w:pPr>
                <w:r w:rsidRPr="0095691D">
                  <w:rPr>
                    <w:rFonts w:ascii="Calibri" w:hAnsi="Calibri"/>
                    <w:sz w:val="23"/>
                    <w:szCs w:val="23"/>
                  </w:rPr>
                  <w:t>Article 2 - Dennison</w:t>
                </w:r>
              </w:p>
            </w:sdtContent>
          </w:sdt>
        </w:tc>
      </w:tr>
    </w:tbl>
    <w:p w14:paraId="46114522" w14:textId="77777777" w:rsidR="0095691D" w:rsidRDefault="0095691D">
      <w:pPr>
        <w:rPr>
          <w:rFonts w:ascii="Calibri" w:hAnsi="Calibri"/>
          <w:sz w:val="23"/>
          <w:szCs w:val="23"/>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8298"/>
      </w:tblGrid>
      <w:tr w:rsidR="00CD7995" w:rsidRPr="0095691D" w14:paraId="4354D050" w14:textId="77777777" w:rsidTr="00CD7995">
        <w:tc>
          <w:tcPr>
            <w:tcW w:w="1278" w:type="dxa"/>
          </w:tcPr>
          <w:sdt>
            <w:sdtPr>
              <w:rPr>
                <w:rFonts w:ascii="Calibri" w:hAnsi="Calibri"/>
                <w:sz w:val="23"/>
                <w:szCs w:val="23"/>
              </w:rPr>
              <w:tag w:val="goog_rdk_85"/>
              <w:id w:val="1791627496"/>
            </w:sdtPr>
            <w:sdtEndPr/>
            <w:sdtContent>
              <w:p w14:paraId="3768BDFF" w14:textId="77777777" w:rsidR="00CD7995" w:rsidRPr="0095691D" w:rsidRDefault="00CD7995" w:rsidP="00CD7995">
                <w:pPr>
                  <w:rPr>
                    <w:rFonts w:ascii="Calibri" w:hAnsi="Calibri"/>
                    <w:b/>
                    <w:sz w:val="23"/>
                    <w:szCs w:val="23"/>
                  </w:rPr>
                </w:pPr>
                <w:r w:rsidRPr="0095691D">
                  <w:rPr>
                    <w:rFonts w:ascii="Calibri" w:hAnsi="Calibri"/>
                    <w:b/>
                    <w:sz w:val="23"/>
                    <w:szCs w:val="23"/>
                  </w:rPr>
                  <w:t>Citation</w:t>
                </w:r>
              </w:p>
            </w:sdtContent>
          </w:sdt>
        </w:tc>
        <w:tc>
          <w:tcPr>
            <w:tcW w:w="8298" w:type="dxa"/>
          </w:tcPr>
          <w:p w14:paraId="263A7F35" w14:textId="4272AACE" w:rsidR="00E62EC4" w:rsidRPr="00E62EC4" w:rsidRDefault="00CD7995" w:rsidP="00E62EC4">
            <w:pPr>
              <w:pStyle w:val="Title"/>
              <w:shd w:val="clear" w:color="auto" w:fill="FFFFFF"/>
              <w:spacing w:before="0" w:beforeAutospacing="0" w:after="0" w:afterAutospacing="0"/>
              <w:rPr>
                <w:rFonts w:ascii="Calibri" w:hAnsi="Calibri" w:cs="Arial"/>
                <w:color w:val="000000"/>
                <w:sz w:val="23"/>
                <w:szCs w:val="23"/>
              </w:rPr>
            </w:pPr>
            <w:r w:rsidRPr="00E62EC4">
              <w:rPr>
                <w:rFonts w:ascii="Calibri" w:hAnsi="Calibri"/>
                <w:sz w:val="23"/>
                <w:szCs w:val="23"/>
              </w:rPr>
              <w:t>3</w:t>
            </w:r>
            <w:r w:rsidR="00E62EC4" w:rsidRPr="00E62EC4">
              <w:rPr>
                <w:rFonts w:ascii="Calibri" w:hAnsi="Calibri"/>
                <w:sz w:val="23"/>
                <w:szCs w:val="23"/>
              </w:rPr>
              <w:t>.</w:t>
            </w:r>
            <w:r w:rsidR="00E62EC4" w:rsidRPr="00E62EC4">
              <w:rPr>
                <w:rFonts w:ascii="Calibri" w:hAnsi="Calibri" w:cs="Arial"/>
                <w:color w:val="000000"/>
                <w:sz w:val="23"/>
                <w:szCs w:val="23"/>
              </w:rPr>
              <w:t xml:space="preserve"> </w:t>
            </w:r>
            <w:hyperlink r:id="rId8" w:history="1">
              <w:r w:rsidR="00E62EC4" w:rsidRPr="00E62EC4">
                <w:rPr>
                  <w:rStyle w:val="Hyperlink"/>
                  <w:rFonts w:ascii="Calibri" w:hAnsi="Calibri" w:cs="Arial"/>
                  <w:color w:val="642A8F"/>
                  <w:sz w:val="23"/>
                  <w:szCs w:val="23"/>
                </w:rPr>
                <w:t>A systematic review and meta-analysis of the effect of bisphosphonate drug holidays on bone mineral density and osteoporotic fracture risk.</w:t>
              </w:r>
            </w:hyperlink>
          </w:p>
          <w:p w14:paraId="2D2EDBBD" w14:textId="77777777" w:rsidR="00E62EC4" w:rsidRPr="00E62EC4" w:rsidRDefault="00E62EC4" w:rsidP="00E62EC4">
            <w:pPr>
              <w:pStyle w:val="desc"/>
              <w:shd w:val="clear" w:color="auto" w:fill="FFFFFF"/>
              <w:spacing w:before="0" w:beforeAutospacing="0" w:after="0" w:afterAutospacing="0"/>
              <w:rPr>
                <w:rFonts w:ascii="Calibri" w:hAnsi="Calibri" w:cs="Arial"/>
                <w:color w:val="000000"/>
                <w:sz w:val="23"/>
                <w:szCs w:val="23"/>
              </w:rPr>
            </w:pPr>
            <w:proofErr w:type="spellStart"/>
            <w:r w:rsidRPr="00E62EC4">
              <w:rPr>
                <w:rFonts w:ascii="Calibri" w:hAnsi="Calibri" w:cs="Arial"/>
                <w:color w:val="000000"/>
                <w:sz w:val="23"/>
                <w:szCs w:val="23"/>
              </w:rPr>
              <w:t>Nayak</w:t>
            </w:r>
            <w:proofErr w:type="spellEnd"/>
            <w:r w:rsidRPr="00E62EC4">
              <w:rPr>
                <w:rFonts w:ascii="Calibri" w:hAnsi="Calibri" w:cs="Arial"/>
                <w:color w:val="000000"/>
                <w:sz w:val="23"/>
                <w:szCs w:val="23"/>
              </w:rPr>
              <w:t xml:space="preserve"> S, Greenspan SL.</w:t>
            </w:r>
          </w:p>
          <w:p w14:paraId="79B0A012" w14:textId="77777777" w:rsidR="00E62EC4" w:rsidRPr="00E62EC4" w:rsidRDefault="00E62EC4" w:rsidP="00E62EC4">
            <w:pPr>
              <w:pStyle w:val="details"/>
              <w:shd w:val="clear" w:color="auto" w:fill="FFFFFF"/>
              <w:spacing w:before="0" w:beforeAutospacing="0" w:after="0" w:afterAutospacing="0"/>
              <w:rPr>
                <w:rFonts w:ascii="Calibri" w:hAnsi="Calibri" w:cs="Arial"/>
                <w:color w:val="000000"/>
                <w:sz w:val="23"/>
                <w:szCs w:val="23"/>
              </w:rPr>
            </w:pPr>
            <w:proofErr w:type="spellStart"/>
            <w:r w:rsidRPr="00E62EC4">
              <w:rPr>
                <w:rStyle w:val="jrnl"/>
                <w:rFonts w:ascii="Calibri" w:hAnsi="Calibri" w:cs="Arial"/>
                <w:color w:val="000000"/>
                <w:sz w:val="23"/>
                <w:szCs w:val="23"/>
              </w:rPr>
              <w:t>Osteoporos</w:t>
            </w:r>
            <w:proofErr w:type="spellEnd"/>
            <w:r w:rsidRPr="00E62EC4">
              <w:rPr>
                <w:rStyle w:val="jrnl"/>
                <w:rFonts w:ascii="Calibri" w:hAnsi="Calibri" w:cs="Arial"/>
                <w:color w:val="000000"/>
                <w:sz w:val="23"/>
                <w:szCs w:val="23"/>
              </w:rPr>
              <w:t xml:space="preserve"> Int</w:t>
            </w:r>
            <w:r w:rsidRPr="00E62EC4">
              <w:rPr>
                <w:rFonts w:ascii="Calibri" w:hAnsi="Calibri" w:cs="Arial"/>
                <w:color w:val="000000"/>
                <w:sz w:val="23"/>
                <w:szCs w:val="23"/>
              </w:rPr>
              <w:t>. 2019 Apr</w:t>
            </w:r>
            <w:proofErr w:type="gramStart"/>
            <w:r w:rsidRPr="00E62EC4">
              <w:rPr>
                <w:rFonts w:ascii="Calibri" w:hAnsi="Calibri" w:cs="Arial"/>
                <w:color w:val="000000"/>
                <w:sz w:val="23"/>
                <w:szCs w:val="23"/>
              </w:rPr>
              <w:t>;30</w:t>
            </w:r>
            <w:proofErr w:type="gramEnd"/>
            <w:r w:rsidRPr="00E62EC4">
              <w:rPr>
                <w:rFonts w:ascii="Calibri" w:hAnsi="Calibri" w:cs="Arial"/>
                <w:color w:val="000000"/>
                <w:sz w:val="23"/>
                <w:szCs w:val="23"/>
              </w:rPr>
              <w:t xml:space="preserve">(4):705-720. </w:t>
            </w:r>
            <w:proofErr w:type="spellStart"/>
            <w:proofErr w:type="gramStart"/>
            <w:r w:rsidRPr="00E62EC4">
              <w:rPr>
                <w:rFonts w:ascii="Calibri" w:hAnsi="Calibri" w:cs="Arial"/>
                <w:color w:val="000000"/>
                <w:sz w:val="23"/>
                <w:szCs w:val="23"/>
              </w:rPr>
              <w:t>doi</w:t>
            </w:r>
            <w:proofErr w:type="spellEnd"/>
            <w:proofErr w:type="gramEnd"/>
            <w:r w:rsidRPr="00E62EC4">
              <w:rPr>
                <w:rFonts w:ascii="Calibri" w:hAnsi="Calibri" w:cs="Arial"/>
                <w:color w:val="000000"/>
                <w:sz w:val="23"/>
                <w:szCs w:val="23"/>
              </w:rPr>
              <w:t xml:space="preserve">: 10.1007/s00198-018-4791-3. </w:t>
            </w:r>
            <w:proofErr w:type="spellStart"/>
            <w:r w:rsidRPr="00E62EC4">
              <w:rPr>
                <w:rFonts w:ascii="Calibri" w:hAnsi="Calibri" w:cs="Arial"/>
                <w:color w:val="000000"/>
                <w:sz w:val="23"/>
                <w:szCs w:val="23"/>
              </w:rPr>
              <w:t>Epub</w:t>
            </w:r>
            <w:proofErr w:type="spellEnd"/>
            <w:r w:rsidRPr="00E62EC4">
              <w:rPr>
                <w:rFonts w:ascii="Calibri" w:hAnsi="Calibri" w:cs="Arial"/>
                <w:color w:val="000000"/>
                <w:sz w:val="23"/>
                <w:szCs w:val="23"/>
              </w:rPr>
              <w:t xml:space="preserve"> 2019 Jan 8.</w:t>
            </w:r>
          </w:p>
          <w:p w14:paraId="510837E3" w14:textId="50B17217" w:rsidR="00CD7995" w:rsidRPr="00E62EC4" w:rsidRDefault="00E62EC4" w:rsidP="00CD7995">
            <w:pPr>
              <w:shd w:val="clear" w:color="auto" w:fill="FFFFFF"/>
              <w:spacing w:line="336" w:lineRule="atLeast"/>
              <w:ind w:right="225"/>
              <w:rPr>
                <w:rFonts w:ascii="Calibri" w:eastAsia="Times New Roman" w:hAnsi="Calibri" w:cs="Arial"/>
                <w:color w:val="575757"/>
                <w:sz w:val="23"/>
                <w:szCs w:val="23"/>
              </w:rPr>
            </w:pPr>
            <w:r w:rsidRPr="00E62EC4">
              <w:rPr>
                <w:rFonts w:ascii="Calibri" w:eastAsia="Times New Roman" w:hAnsi="Calibri" w:cs="Arial"/>
                <w:color w:val="575757"/>
                <w:sz w:val="23"/>
                <w:szCs w:val="23"/>
              </w:rPr>
              <w:t>PMID: 30623214</w:t>
            </w:r>
          </w:p>
        </w:tc>
      </w:tr>
      <w:tr w:rsidR="00CD7995" w:rsidRPr="0095691D" w14:paraId="4F64E6B6" w14:textId="77777777" w:rsidTr="00CD7995">
        <w:tc>
          <w:tcPr>
            <w:tcW w:w="1278" w:type="dxa"/>
          </w:tcPr>
          <w:sdt>
            <w:sdtPr>
              <w:rPr>
                <w:rFonts w:ascii="Calibri" w:hAnsi="Calibri"/>
                <w:sz w:val="23"/>
                <w:szCs w:val="23"/>
              </w:rPr>
              <w:tag w:val="goog_rdk_90"/>
              <w:id w:val="-554395415"/>
            </w:sdtPr>
            <w:sdtEndPr/>
            <w:sdtContent>
              <w:p w14:paraId="27C86687" w14:textId="77777777" w:rsidR="00CD7995" w:rsidRPr="0095691D" w:rsidRDefault="00CD7995" w:rsidP="00CD7995">
                <w:pPr>
                  <w:rPr>
                    <w:rFonts w:ascii="Calibri" w:hAnsi="Calibri"/>
                    <w:b/>
                    <w:sz w:val="23"/>
                    <w:szCs w:val="23"/>
                  </w:rPr>
                </w:pPr>
                <w:r w:rsidRPr="0095691D">
                  <w:rPr>
                    <w:rFonts w:ascii="Calibri" w:hAnsi="Calibri"/>
                    <w:b/>
                    <w:sz w:val="23"/>
                    <w:szCs w:val="23"/>
                  </w:rPr>
                  <w:t>Abstract</w:t>
                </w:r>
              </w:p>
            </w:sdtContent>
          </w:sdt>
        </w:tc>
        <w:tc>
          <w:tcPr>
            <w:tcW w:w="8298" w:type="dxa"/>
          </w:tcPr>
          <w:p w14:paraId="4007602E" w14:textId="77777777" w:rsidR="00A72708" w:rsidRPr="00A72708" w:rsidRDefault="00A72708" w:rsidP="00A72708">
            <w:pPr>
              <w:pStyle w:val="Heading3"/>
              <w:shd w:val="clear" w:color="auto" w:fill="FFFFFF"/>
              <w:spacing w:before="0" w:beforeAutospacing="0" w:after="0" w:afterAutospacing="0"/>
              <w:rPr>
                <w:rFonts w:ascii="Calibri" w:eastAsia="Times New Roman" w:hAnsi="Calibri" w:cs="Arial"/>
                <w:color w:val="985735"/>
                <w:sz w:val="23"/>
                <w:szCs w:val="23"/>
              </w:rPr>
            </w:pPr>
            <w:r w:rsidRPr="00A72708">
              <w:rPr>
                <w:rFonts w:ascii="Calibri" w:eastAsia="Times New Roman" w:hAnsi="Calibri" w:cs="Arial"/>
                <w:color w:val="985735"/>
                <w:sz w:val="23"/>
                <w:szCs w:val="23"/>
              </w:rPr>
              <w:t>Abstract</w:t>
            </w:r>
          </w:p>
          <w:p w14:paraId="76019F99" w14:textId="77777777" w:rsidR="00A72708" w:rsidRPr="00A72708" w:rsidRDefault="00A72708" w:rsidP="00A72708">
            <w:pPr>
              <w:pStyle w:val="NormalWeb"/>
              <w:shd w:val="clear" w:color="auto" w:fill="FFFFFF"/>
              <w:spacing w:before="0" w:beforeAutospacing="0" w:after="120" w:afterAutospacing="0"/>
              <w:rPr>
                <w:rFonts w:ascii="Calibri" w:eastAsiaTheme="minorEastAsia" w:hAnsi="Calibri" w:cs="Arial"/>
                <w:color w:val="000000"/>
                <w:sz w:val="23"/>
                <w:szCs w:val="23"/>
              </w:rPr>
            </w:pPr>
            <w:r w:rsidRPr="00A72708">
              <w:rPr>
                <w:rFonts w:ascii="Calibri" w:hAnsi="Calibri" w:cs="Arial"/>
                <w:color w:val="000000"/>
                <w:sz w:val="23"/>
                <w:szCs w:val="23"/>
              </w:rPr>
              <w:t>We performed a systematic review on the effect of drug holidays (discontinuation) on bone mineral density (BMD) and fracture risk. Bisphosphonate discontinuation may be considered for women who do not have low hip BMD after 3-5 years of initial treatment, while women who have low hip BMD may benefit from treatment continuation.</w:t>
            </w:r>
          </w:p>
          <w:p w14:paraId="37549716" w14:textId="77777777" w:rsidR="00A72708" w:rsidRPr="00A72708" w:rsidRDefault="00A72708" w:rsidP="00A72708">
            <w:pPr>
              <w:pStyle w:val="Heading4"/>
              <w:shd w:val="clear" w:color="auto" w:fill="FFFFFF"/>
              <w:spacing w:before="0" w:beforeAutospacing="0" w:after="0" w:afterAutospacing="0"/>
              <w:ind w:right="60"/>
              <w:rPr>
                <w:rFonts w:ascii="Calibri" w:eastAsia="Times New Roman" w:hAnsi="Calibri" w:cs="Arial"/>
                <w:caps/>
                <w:color w:val="000000"/>
                <w:sz w:val="23"/>
                <w:szCs w:val="23"/>
              </w:rPr>
            </w:pPr>
            <w:r w:rsidRPr="00A72708">
              <w:rPr>
                <w:rFonts w:ascii="Calibri" w:eastAsia="Times New Roman" w:hAnsi="Calibri" w:cs="Arial"/>
                <w:caps/>
                <w:color w:val="000000"/>
                <w:sz w:val="23"/>
                <w:szCs w:val="23"/>
              </w:rPr>
              <w:t>INTRODUCTION:</w:t>
            </w:r>
          </w:p>
          <w:p w14:paraId="4334ED0D" w14:textId="77777777" w:rsidR="00A72708" w:rsidRPr="00A72708" w:rsidRDefault="00A72708" w:rsidP="00A72708">
            <w:pPr>
              <w:pStyle w:val="NormalWeb"/>
              <w:shd w:val="clear" w:color="auto" w:fill="FFFFFF"/>
              <w:spacing w:before="0" w:beforeAutospacing="0" w:after="120" w:afterAutospacing="0"/>
              <w:rPr>
                <w:rFonts w:ascii="Calibri" w:eastAsiaTheme="minorEastAsia" w:hAnsi="Calibri" w:cs="Arial"/>
                <w:color w:val="000000"/>
                <w:sz w:val="23"/>
                <w:szCs w:val="23"/>
              </w:rPr>
            </w:pPr>
            <w:r w:rsidRPr="00A72708">
              <w:rPr>
                <w:rFonts w:ascii="Calibri" w:hAnsi="Calibri" w:cs="Arial"/>
                <w:color w:val="000000"/>
                <w:sz w:val="23"/>
                <w:szCs w:val="23"/>
              </w:rPr>
              <w:t>We performed a systematic review and meta-analysis on the effect of drug holidays (discontinuation) on BMD and fracture risk.</w:t>
            </w:r>
          </w:p>
          <w:p w14:paraId="6076DF31" w14:textId="77777777" w:rsidR="00A72708" w:rsidRPr="00A72708" w:rsidRDefault="00A72708" w:rsidP="00A72708">
            <w:pPr>
              <w:pStyle w:val="Heading4"/>
              <w:shd w:val="clear" w:color="auto" w:fill="FFFFFF"/>
              <w:spacing w:before="0" w:beforeAutospacing="0" w:after="0" w:afterAutospacing="0"/>
              <w:ind w:right="60"/>
              <w:rPr>
                <w:rFonts w:ascii="Calibri" w:eastAsia="Times New Roman" w:hAnsi="Calibri" w:cs="Arial"/>
                <w:caps/>
                <w:color w:val="000000"/>
                <w:sz w:val="23"/>
                <w:szCs w:val="23"/>
              </w:rPr>
            </w:pPr>
            <w:r w:rsidRPr="00A72708">
              <w:rPr>
                <w:rFonts w:ascii="Calibri" w:eastAsia="Times New Roman" w:hAnsi="Calibri" w:cs="Arial"/>
                <w:caps/>
                <w:color w:val="000000"/>
                <w:sz w:val="23"/>
                <w:szCs w:val="23"/>
              </w:rPr>
              <w:t>METHODS:</w:t>
            </w:r>
          </w:p>
          <w:p w14:paraId="4B5D41FA" w14:textId="77777777" w:rsidR="00A72708" w:rsidRPr="00A72708" w:rsidRDefault="00A72708" w:rsidP="00A72708">
            <w:pPr>
              <w:pStyle w:val="NormalWeb"/>
              <w:shd w:val="clear" w:color="auto" w:fill="FFFFFF"/>
              <w:spacing w:before="0" w:beforeAutospacing="0" w:after="120" w:afterAutospacing="0"/>
              <w:rPr>
                <w:rFonts w:ascii="Calibri" w:eastAsiaTheme="minorEastAsia" w:hAnsi="Calibri" w:cs="Arial"/>
                <w:color w:val="000000"/>
                <w:sz w:val="23"/>
                <w:szCs w:val="23"/>
              </w:rPr>
            </w:pPr>
            <w:r w:rsidRPr="00A72708">
              <w:rPr>
                <w:rFonts w:ascii="Calibri" w:hAnsi="Calibri" w:cs="Arial"/>
                <w:color w:val="000000"/>
                <w:sz w:val="23"/>
                <w:szCs w:val="23"/>
              </w:rPr>
              <w:t xml:space="preserve">We searched PubMed, </w:t>
            </w:r>
            <w:proofErr w:type="spellStart"/>
            <w:r w:rsidRPr="00A72708">
              <w:rPr>
                <w:rFonts w:ascii="Calibri" w:hAnsi="Calibri" w:cs="Arial"/>
                <w:color w:val="000000"/>
                <w:sz w:val="23"/>
                <w:szCs w:val="23"/>
              </w:rPr>
              <w:t>Embase</w:t>
            </w:r>
            <w:proofErr w:type="spellEnd"/>
            <w:r w:rsidRPr="00A72708">
              <w:rPr>
                <w:rFonts w:ascii="Calibri" w:hAnsi="Calibri" w:cs="Arial"/>
                <w:color w:val="000000"/>
                <w:sz w:val="23"/>
                <w:szCs w:val="23"/>
              </w:rPr>
              <w:t>, and Cochrane Library databases to locate controlled clinical trials and cohort studies evaluating the effect of drug holidays/discontinuation versus osteoporosis treatment continuation. We performed random-effects meta-analyses of hazard ratios of hip and any clinical osteoporotic fracture for individuals who discontinued bisphosphonates compared to persistent users.</w:t>
            </w:r>
          </w:p>
          <w:p w14:paraId="53B8F23B" w14:textId="77777777" w:rsidR="00A72708" w:rsidRPr="00A72708" w:rsidRDefault="00A72708" w:rsidP="00A72708">
            <w:pPr>
              <w:pStyle w:val="Heading4"/>
              <w:shd w:val="clear" w:color="auto" w:fill="FFFFFF"/>
              <w:spacing w:before="0" w:beforeAutospacing="0" w:after="0" w:afterAutospacing="0"/>
              <w:ind w:right="60"/>
              <w:rPr>
                <w:rFonts w:ascii="Calibri" w:eastAsia="Times New Roman" w:hAnsi="Calibri" w:cs="Arial"/>
                <w:caps/>
                <w:color w:val="000000"/>
                <w:sz w:val="23"/>
                <w:szCs w:val="23"/>
              </w:rPr>
            </w:pPr>
            <w:r w:rsidRPr="00A72708">
              <w:rPr>
                <w:rFonts w:ascii="Calibri" w:eastAsia="Times New Roman" w:hAnsi="Calibri" w:cs="Arial"/>
                <w:caps/>
                <w:color w:val="000000"/>
                <w:sz w:val="23"/>
                <w:szCs w:val="23"/>
              </w:rPr>
              <w:t>RESULTS:</w:t>
            </w:r>
          </w:p>
          <w:p w14:paraId="7931962D" w14:textId="77777777" w:rsidR="00A72708" w:rsidRPr="00A72708" w:rsidRDefault="00A72708" w:rsidP="00A72708">
            <w:pPr>
              <w:pStyle w:val="NormalWeb"/>
              <w:shd w:val="clear" w:color="auto" w:fill="FFFFFF"/>
              <w:spacing w:before="0" w:beforeAutospacing="0" w:after="120" w:afterAutospacing="0"/>
              <w:rPr>
                <w:rFonts w:ascii="Calibri" w:eastAsiaTheme="minorEastAsia" w:hAnsi="Calibri" w:cs="Arial"/>
                <w:color w:val="000000"/>
                <w:sz w:val="23"/>
                <w:szCs w:val="23"/>
              </w:rPr>
            </w:pPr>
            <w:r w:rsidRPr="00A72708">
              <w:rPr>
                <w:rFonts w:ascii="Calibri" w:hAnsi="Calibri" w:cs="Arial"/>
                <w:color w:val="000000"/>
                <w:sz w:val="23"/>
                <w:szCs w:val="23"/>
              </w:rPr>
              <w:t xml:space="preserve">Thirteen records reporting results from eight different studies met inclusion criteria. The FLEX study found a reduced clinical vertebral fracture risk with 10 years of alendronate therapy compared to 5 (RR 0.45, 95% CI 0.24-0.85), and the HORIZON extension studies found a reduced risk of morphometric vertebral fracture with 6 years of </w:t>
            </w:r>
            <w:proofErr w:type="spellStart"/>
            <w:r w:rsidRPr="00A72708">
              <w:rPr>
                <w:rFonts w:ascii="Calibri" w:hAnsi="Calibri" w:cs="Arial"/>
                <w:color w:val="000000"/>
                <w:sz w:val="23"/>
                <w:szCs w:val="23"/>
              </w:rPr>
              <w:t>zoledronic</w:t>
            </w:r>
            <w:proofErr w:type="spellEnd"/>
            <w:r w:rsidRPr="00A72708">
              <w:rPr>
                <w:rFonts w:ascii="Calibri" w:hAnsi="Calibri" w:cs="Arial"/>
                <w:color w:val="000000"/>
                <w:sz w:val="23"/>
                <w:szCs w:val="23"/>
              </w:rPr>
              <w:t xml:space="preserve"> acid therapy compared to 3 (OR = 0.51, 95% CI 0.26-0.95); subgroup analyses showed that women with low hip BMD T-scores after the initial treatment period benefitted from continued treatment in terms of reduced vertebral fracture risk. Meta-analysis of adjusted hazard ratios of hip and any clinical osteoporotic fracture for women who discontinued bisphosphonates revealed no significant differences in the risk of hip fracture (summary estimate of HR 1.09, 95% CI 0.87-1.37) or any clinical fracture (summary estimate of HR 1.13, 95% CI 0.75-1.70) compared to persistent users.</w:t>
            </w:r>
          </w:p>
          <w:p w14:paraId="7E5B26E4" w14:textId="77777777" w:rsidR="00A72708" w:rsidRPr="00A72708" w:rsidRDefault="00A72708" w:rsidP="00A72708">
            <w:pPr>
              <w:pStyle w:val="Heading4"/>
              <w:shd w:val="clear" w:color="auto" w:fill="FFFFFF"/>
              <w:spacing w:before="0" w:beforeAutospacing="0" w:after="0" w:afterAutospacing="0"/>
              <w:ind w:right="60"/>
              <w:rPr>
                <w:rFonts w:ascii="Calibri" w:eastAsia="Times New Roman" w:hAnsi="Calibri" w:cs="Arial"/>
                <w:caps/>
                <w:color w:val="000000"/>
                <w:sz w:val="23"/>
                <w:szCs w:val="23"/>
              </w:rPr>
            </w:pPr>
            <w:r w:rsidRPr="00A72708">
              <w:rPr>
                <w:rFonts w:ascii="Calibri" w:eastAsia="Times New Roman" w:hAnsi="Calibri" w:cs="Arial"/>
                <w:caps/>
                <w:color w:val="000000"/>
                <w:sz w:val="23"/>
                <w:szCs w:val="23"/>
              </w:rPr>
              <w:t>CONCLUSIONS:</w:t>
            </w:r>
          </w:p>
          <w:p w14:paraId="705386BD" w14:textId="57E665FF" w:rsidR="00CD7995" w:rsidRPr="00A72708" w:rsidRDefault="00A72708" w:rsidP="00CD7995">
            <w:pPr>
              <w:pStyle w:val="NormalWeb"/>
              <w:shd w:val="clear" w:color="auto" w:fill="FFFFFF"/>
              <w:spacing w:before="0" w:beforeAutospacing="0" w:after="120" w:afterAutospacing="0"/>
              <w:rPr>
                <w:rFonts w:ascii="Calibri" w:eastAsiaTheme="minorEastAsia" w:hAnsi="Calibri" w:cs="Arial"/>
                <w:color w:val="000000"/>
                <w:sz w:val="23"/>
                <w:szCs w:val="23"/>
              </w:rPr>
            </w:pPr>
            <w:r w:rsidRPr="00A72708">
              <w:rPr>
                <w:rFonts w:ascii="Calibri" w:hAnsi="Calibri" w:cs="Arial"/>
                <w:color w:val="000000"/>
                <w:sz w:val="23"/>
                <w:szCs w:val="23"/>
              </w:rPr>
              <w:t>Bisphosphonate discontinuation may be considered for women who do not have low hip BMD after 3 to 5 years of initial treatment, while women who have low hip BMD may benefit from treatment continuation.</w:t>
            </w:r>
          </w:p>
        </w:tc>
      </w:tr>
      <w:tr w:rsidR="00CD7995" w:rsidRPr="0095691D" w14:paraId="3B7D6515" w14:textId="77777777" w:rsidTr="00CD7995">
        <w:tc>
          <w:tcPr>
            <w:tcW w:w="1278" w:type="dxa"/>
          </w:tcPr>
          <w:sdt>
            <w:sdtPr>
              <w:rPr>
                <w:rFonts w:ascii="Calibri" w:hAnsi="Calibri"/>
                <w:sz w:val="23"/>
                <w:szCs w:val="23"/>
              </w:rPr>
              <w:tag w:val="goog_rdk_109"/>
              <w:id w:val="2066295439"/>
            </w:sdtPr>
            <w:sdtEndPr/>
            <w:sdtContent>
              <w:p w14:paraId="6CF3BD3D" w14:textId="77777777" w:rsidR="00CD7995" w:rsidRPr="0095691D" w:rsidRDefault="00CD7995" w:rsidP="00CD7995">
                <w:pPr>
                  <w:rPr>
                    <w:rFonts w:ascii="Calibri" w:hAnsi="Calibri"/>
                    <w:b/>
                    <w:sz w:val="23"/>
                    <w:szCs w:val="23"/>
                  </w:rPr>
                </w:pPr>
                <w:r w:rsidRPr="0095691D">
                  <w:rPr>
                    <w:rFonts w:ascii="Calibri" w:hAnsi="Calibri"/>
                    <w:b/>
                    <w:sz w:val="23"/>
                    <w:szCs w:val="23"/>
                  </w:rPr>
                  <w:t>PDF Link</w:t>
                </w:r>
              </w:p>
            </w:sdtContent>
          </w:sdt>
        </w:tc>
        <w:tc>
          <w:tcPr>
            <w:tcW w:w="8298" w:type="dxa"/>
          </w:tcPr>
          <w:sdt>
            <w:sdtPr>
              <w:rPr>
                <w:rFonts w:ascii="Calibri" w:hAnsi="Calibri"/>
                <w:sz w:val="23"/>
                <w:szCs w:val="23"/>
              </w:rPr>
              <w:tag w:val="goog_rdk_110"/>
              <w:id w:val="42179873"/>
            </w:sdtPr>
            <w:sdtEndPr/>
            <w:sdtContent>
              <w:p w14:paraId="5DAFC74B" w14:textId="10DC7F88" w:rsidR="00CD7995" w:rsidRPr="0095691D" w:rsidRDefault="00A72708" w:rsidP="00CD7995">
                <w:pPr>
                  <w:rPr>
                    <w:rFonts w:ascii="Calibri" w:hAnsi="Calibri"/>
                    <w:sz w:val="23"/>
                    <w:szCs w:val="23"/>
                  </w:rPr>
                </w:pPr>
                <w:r>
                  <w:rPr>
                    <w:rFonts w:ascii="Calibri" w:hAnsi="Calibri"/>
                    <w:sz w:val="23"/>
                    <w:szCs w:val="23"/>
                  </w:rPr>
                  <w:t xml:space="preserve">Article 3 - </w:t>
                </w:r>
                <w:proofErr w:type="spellStart"/>
                <w:r>
                  <w:rPr>
                    <w:rFonts w:ascii="Calibri" w:hAnsi="Calibri"/>
                    <w:sz w:val="23"/>
                    <w:szCs w:val="23"/>
                  </w:rPr>
                  <w:t>Nayak</w:t>
                </w:r>
                <w:proofErr w:type="spellEnd"/>
              </w:p>
            </w:sdtContent>
          </w:sdt>
        </w:tc>
      </w:tr>
    </w:tbl>
    <w:p w14:paraId="1F9920F2" w14:textId="77777777" w:rsidR="00CD7995" w:rsidRDefault="00CD7995">
      <w:pPr>
        <w:rPr>
          <w:rFonts w:ascii="Calibri" w:hAnsi="Calibri"/>
          <w:sz w:val="23"/>
          <w:szCs w:val="23"/>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8298"/>
      </w:tblGrid>
      <w:tr w:rsidR="0095691D" w:rsidRPr="0095691D" w14:paraId="671E68AD" w14:textId="77777777" w:rsidTr="00CD7995">
        <w:tc>
          <w:tcPr>
            <w:tcW w:w="1278" w:type="dxa"/>
          </w:tcPr>
          <w:sdt>
            <w:sdtPr>
              <w:rPr>
                <w:rFonts w:ascii="Calibri" w:hAnsi="Calibri"/>
                <w:sz w:val="23"/>
                <w:szCs w:val="23"/>
              </w:rPr>
              <w:tag w:val="goog_rdk_85"/>
              <w:id w:val="-1774786534"/>
            </w:sdtPr>
            <w:sdtEndPr/>
            <w:sdtContent>
              <w:p w14:paraId="49C30F07" w14:textId="77777777" w:rsidR="0095691D" w:rsidRPr="0095691D" w:rsidRDefault="0095691D" w:rsidP="00CD7995">
                <w:pPr>
                  <w:rPr>
                    <w:rFonts w:ascii="Calibri" w:hAnsi="Calibri"/>
                    <w:b/>
                    <w:sz w:val="23"/>
                    <w:szCs w:val="23"/>
                  </w:rPr>
                </w:pPr>
                <w:r w:rsidRPr="0095691D">
                  <w:rPr>
                    <w:rFonts w:ascii="Calibri" w:hAnsi="Calibri"/>
                    <w:b/>
                    <w:sz w:val="23"/>
                    <w:szCs w:val="23"/>
                  </w:rPr>
                  <w:t>Citation</w:t>
                </w:r>
              </w:p>
            </w:sdtContent>
          </w:sdt>
        </w:tc>
        <w:tc>
          <w:tcPr>
            <w:tcW w:w="8298" w:type="dxa"/>
          </w:tcPr>
          <w:p w14:paraId="5B245CD4" w14:textId="07FD53AA" w:rsidR="0095691D" w:rsidRPr="0095691D" w:rsidRDefault="006D20A8" w:rsidP="00CD7995">
            <w:pPr>
              <w:pStyle w:val="Title"/>
              <w:shd w:val="clear" w:color="auto" w:fill="FFFFFF"/>
              <w:spacing w:before="0" w:beforeAutospacing="0" w:after="0" w:afterAutospacing="0"/>
              <w:rPr>
                <w:rFonts w:ascii="Calibri" w:hAnsi="Calibri" w:cs="Arial"/>
                <w:color w:val="000000"/>
                <w:sz w:val="23"/>
                <w:szCs w:val="23"/>
              </w:rPr>
            </w:pPr>
            <w:r>
              <w:rPr>
                <w:rFonts w:ascii="Calibri" w:hAnsi="Calibri"/>
                <w:sz w:val="23"/>
                <w:szCs w:val="23"/>
              </w:rPr>
              <w:t>4</w:t>
            </w:r>
            <w:r w:rsidR="0095691D">
              <w:rPr>
                <w:rFonts w:ascii="Calibri" w:hAnsi="Calibri"/>
                <w:sz w:val="23"/>
                <w:szCs w:val="23"/>
              </w:rPr>
              <w:t xml:space="preserve">. </w:t>
            </w:r>
            <w:hyperlink r:id="rId9" w:history="1">
              <w:r w:rsidR="0095691D" w:rsidRPr="0095691D">
                <w:rPr>
                  <w:rStyle w:val="Hyperlink"/>
                  <w:rFonts w:ascii="Calibri" w:hAnsi="Calibri" w:cs="Arial"/>
                  <w:color w:val="642A8F"/>
                  <w:sz w:val="23"/>
                  <w:szCs w:val="23"/>
                </w:rPr>
                <w:t>Update on long-term treatment with </w:t>
              </w:r>
              <w:r w:rsidR="0095691D" w:rsidRPr="0095691D">
                <w:rPr>
                  <w:rStyle w:val="Hyperlink"/>
                  <w:rFonts w:ascii="Calibri" w:hAnsi="Calibri" w:cs="Arial"/>
                  <w:b/>
                  <w:bCs/>
                  <w:color w:val="642A8F"/>
                  <w:sz w:val="23"/>
                  <w:szCs w:val="23"/>
                </w:rPr>
                <w:t>bisphosphonates</w:t>
              </w:r>
              <w:r w:rsidR="0095691D" w:rsidRPr="0095691D">
                <w:rPr>
                  <w:rStyle w:val="Hyperlink"/>
                  <w:rFonts w:ascii="Calibri" w:hAnsi="Calibri" w:cs="Arial"/>
                  <w:color w:val="642A8F"/>
                  <w:sz w:val="23"/>
                  <w:szCs w:val="23"/>
                </w:rPr>
                <w:t> for </w:t>
              </w:r>
              <w:r w:rsidR="0095691D" w:rsidRPr="0095691D">
                <w:rPr>
                  <w:rStyle w:val="Hyperlink"/>
                  <w:rFonts w:ascii="Calibri" w:hAnsi="Calibri" w:cs="Arial"/>
                  <w:b/>
                  <w:bCs/>
                  <w:color w:val="642A8F"/>
                  <w:sz w:val="23"/>
                  <w:szCs w:val="23"/>
                </w:rPr>
                <w:t>postmenopausal osteoporosis</w:t>
              </w:r>
              <w:r w:rsidR="0095691D" w:rsidRPr="0095691D">
                <w:rPr>
                  <w:rStyle w:val="Hyperlink"/>
                  <w:rFonts w:ascii="Calibri" w:hAnsi="Calibri" w:cs="Arial"/>
                  <w:color w:val="642A8F"/>
                  <w:sz w:val="23"/>
                  <w:szCs w:val="23"/>
                </w:rPr>
                <w:t>: a systematic review.</w:t>
              </w:r>
            </w:hyperlink>
          </w:p>
          <w:p w14:paraId="1D0A1054" w14:textId="77777777" w:rsidR="0095691D" w:rsidRPr="0095691D" w:rsidRDefault="0095691D" w:rsidP="00CD7995">
            <w:pPr>
              <w:pStyle w:val="desc"/>
              <w:shd w:val="clear" w:color="auto" w:fill="FFFFFF"/>
              <w:spacing w:before="0" w:beforeAutospacing="0" w:after="0" w:afterAutospacing="0"/>
              <w:rPr>
                <w:rFonts w:ascii="Calibri" w:hAnsi="Calibri" w:cs="Arial"/>
                <w:color w:val="000000"/>
                <w:sz w:val="23"/>
                <w:szCs w:val="23"/>
              </w:rPr>
            </w:pPr>
            <w:proofErr w:type="spellStart"/>
            <w:r w:rsidRPr="0095691D">
              <w:rPr>
                <w:rFonts w:ascii="Calibri" w:hAnsi="Calibri" w:cs="Arial"/>
                <w:color w:val="000000"/>
                <w:sz w:val="23"/>
                <w:szCs w:val="23"/>
              </w:rPr>
              <w:t>Eriksen</w:t>
            </w:r>
            <w:proofErr w:type="spellEnd"/>
            <w:r w:rsidRPr="0095691D">
              <w:rPr>
                <w:rFonts w:ascii="Calibri" w:hAnsi="Calibri" w:cs="Arial"/>
                <w:color w:val="000000"/>
                <w:sz w:val="23"/>
                <w:szCs w:val="23"/>
              </w:rPr>
              <w:t xml:space="preserve"> EF, </w:t>
            </w:r>
            <w:proofErr w:type="spellStart"/>
            <w:r w:rsidRPr="0095691D">
              <w:rPr>
                <w:rFonts w:ascii="Calibri" w:hAnsi="Calibri" w:cs="Arial"/>
                <w:color w:val="000000"/>
                <w:sz w:val="23"/>
                <w:szCs w:val="23"/>
              </w:rPr>
              <w:t>Díez</w:t>
            </w:r>
            <w:proofErr w:type="spellEnd"/>
            <w:r w:rsidRPr="0095691D">
              <w:rPr>
                <w:rFonts w:ascii="Calibri" w:hAnsi="Calibri" w:cs="Arial"/>
                <w:color w:val="000000"/>
                <w:sz w:val="23"/>
                <w:szCs w:val="23"/>
              </w:rPr>
              <w:t xml:space="preserve">-Pérez A, </w:t>
            </w:r>
            <w:proofErr w:type="spellStart"/>
            <w:r w:rsidRPr="0095691D">
              <w:rPr>
                <w:rFonts w:ascii="Calibri" w:hAnsi="Calibri" w:cs="Arial"/>
                <w:color w:val="000000"/>
                <w:sz w:val="23"/>
                <w:szCs w:val="23"/>
              </w:rPr>
              <w:t>Boonen</w:t>
            </w:r>
            <w:proofErr w:type="spellEnd"/>
            <w:r w:rsidRPr="0095691D">
              <w:rPr>
                <w:rFonts w:ascii="Calibri" w:hAnsi="Calibri" w:cs="Arial"/>
                <w:color w:val="000000"/>
                <w:sz w:val="23"/>
                <w:szCs w:val="23"/>
              </w:rPr>
              <w:t xml:space="preserve"> S.</w:t>
            </w:r>
          </w:p>
          <w:p w14:paraId="26211BCB" w14:textId="77777777" w:rsidR="0095691D" w:rsidRPr="0095691D" w:rsidRDefault="0095691D" w:rsidP="00CD7995">
            <w:pPr>
              <w:pStyle w:val="details"/>
              <w:shd w:val="clear" w:color="auto" w:fill="FFFFFF"/>
              <w:spacing w:before="0" w:beforeAutospacing="0" w:after="0" w:afterAutospacing="0"/>
              <w:rPr>
                <w:rFonts w:ascii="Calibri" w:hAnsi="Calibri" w:cs="Arial"/>
                <w:color w:val="000000"/>
                <w:sz w:val="23"/>
                <w:szCs w:val="23"/>
              </w:rPr>
            </w:pPr>
            <w:r w:rsidRPr="0095691D">
              <w:rPr>
                <w:rStyle w:val="jrnl"/>
                <w:rFonts w:ascii="Calibri" w:hAnsi="Calibri" w:cs="Arial"/>
                <w:color w:val="000000"/>
                <w:sz w:val="23"/>
                <w:szCs w:val="23"/>
              </w:rPr>
              <w:t>Bone</w:t>
            </w:r>
            <w:r w:rsidRPr="0095691D">
              <w:rPr>
                <w:rFonts w:ascii="Calibri" w:hAnsi="Calibri" w:cs="Arial"/>
                <w:color w:val="000000"/>
                <w:sz w:val="23"/>
                <w:szCs w:val="23"/>
              </w:rPr>
              <w:t>. 2014 Jan</w:t>
            </w:r>
            <w:proofErr w:type="gramStart"/>
            <w:r w:rsidRPr="0095691D">
              <w:rPr>
                <w:rFonts w:ascii="Calibri" w:hAnsi="Calibri" w:cs="Arial"/>
                <w:color w:val="000000"/>
                <w:sz w:val="23"/>
                <w:szCs w:val="23"/>
              </w:rPr>
              <w:t>;58:126</w:t>
            </w:r>
            <w:proofErr w:type="gramEnd"/>
            <w:r w:rsidRPr="0095691D">
              <w:rPr>
                <w:rFonts w:ascii="Calibri" w:hAnsi="Calibri" w:cs="Arial"/>
                <w:color w:val="000000"/>
                <w:sz w:val="23"/>
                <w:szCs w:val="23"/>
              </w:rPr>
              <w:t xml:space="preserve">-35. </w:t>
            </w:r>
            <w:proofErr w:type="spellStart"/>
            <w:proofErr w:type="gramStart"/>
            <w:r w:rsidRPr="0095691D">
              <w:rPr>
                <w:rFonts w:ascii="Calibri" w:hAnsi="Calibri" w:cs="Arial"/>
                <w:color w:val="000000"/>
                <w:sz w:val="23"/>
                <w:szCs w:val="23"/>
              </w:rPr>
              <w:t>doi</w:t>
            </w:r>
            <w:proofErr w:type="spellEnd"/>
            <w:proofErr w:type="gramEnd"/>
            <w:r w:rsidRPr="0095691D">
              <w:rPr>
                <w:rFonts w:ascii="Calibri" w:hAnsi="Calibri" w:cs="Arial"/>
                <w:color w:val="000000"/>
                <w:sz w:val="23"/>
                <w:szCs w:val="23"/>
              </w:rPr>
              <w:t xml:space="preserve">: 10.1016/j.bone.2013.09.023. </w:t>
            </w:r>
            <w:proofErr w:type="spellStart"/>
            <w:r w:rsidRPr="0095691D">
              <w:rPr>
                <w:rFonts w:ascii="Calibri" w:hAnsi="Calibri" w:cs="Arial"/>
                <w:color w:val="000000"/>
                <w:sz w:val="23"/>
                <w:szCs w:val="23"/>
              </w:rPr>
              <w:t>Epub</w:t>
            </w:r>
            <w:proofErr w:type="spellEnd"/>
            <w:r w:rsidRPr="0095691D">
              <w:rPr>
                <w:rFonts w:ascii="Calibri" w:hAnsi="Calibri" w:cs="Arial"/>
                <w:color w:val="000000"/>
                <w:sz w:val="23"/>
                <w:szCs w:val="23"/>
              </w:rPr>
              <w:t xml:space="preserve"> 2013 Oct 9. Review.</w:t>
            </w:r>
          </w:p>
          <w:p w14:paraId="5F33F3D7" w14:textId="77777777" w:rsidR="0095691D" w:rsidRPr="0095691D" w:rsidRDefault="0095691D" w:rsidP="00CD7995">
            <w:pPr>
              <w:shd w:val="clear" w:color="auto" w:fill="FFFFFF"/>
              <w:spacing w:line="336" w:lineRule="atLeast"/>
              <w:ind w:right="225"/>
              <w:rPr>
                <w:rFonts w:ascii="Calibri" w:eastAsia="Times New Roman" w:hAnsi="Calibri" w:cs="Arial"/>
                <w:color w:val="575757"/>
                <w:sz w:val="23"/>
                <w:szCs w:val="23"/>
              </w:rPr>
            </w:pPr>
            <w:r w:rsidRPr="0095691D">
              <w:rPr>
                <w:rFonts w:ascii="Calibri" w:eastAsia="Times New Roman" w:hAnsi="Calibri" w:cs="Arial"/>
                <w:color w:val="575757"/>
                <w:sz w:val="23"/>
                <w:szCs w:val="23"/>
              </w:rPr>
              <w:t>PMID: 24120384</w:t>
            </w:r>
          </w:p>
        </w:tc>
      </w:tr>
      <w:tr w:rsidR="0095691D" w:rsidRPr="0095691D" w14:paraId="6796E5EA" w14:textId="77777777" w:rsidTr="00CD7995">
        <w:tc>
          <w:tcPr>
            <w:tcW w:w="1278" w:type="dxa"/>
          </w:tcPr>
          <w:sdt>
            <w:sdtPr>
              <w:rPr>
                <w:rFonts w:ascii="Calibri" w:hAnsi="Calibri"/>
                <w:sz w:val="23"/>
                <w:szCs w:val="23"/>
              </w:rPr>
              <w:tag w:val="goog_rdk_90"/>
              <w:id w:val="1130207581"/>
            </w:sdtPr>
            <w:sdtEndPr/>
            <w:sdtContent>
              <w:p w14:paraId="14A2B26E" w14:textId="77777777" w:rsidR="0095691D" w:rsidRPr="0095691D" w:rsidRDefault="0095691D" w:rsidP="00CD7995">
                <w:pPr>
                  <w:rPr>
                    <w:rFonts w:ascii="Calibri" w:hAnsi="Calibri"/>
                    <w:b/>
                    <w:sz w:val="23"/>
                    <w:szCs w:val="23"/>
                  </w:rPr>
                </w:pPr>
                <w:r w:rsidRPr="0095691D">
                  <w:rPr>
                    <w:rFonts w:ascii="Calibri" w:hAnsi="Calibri"/>
                    <w:b/>
                    <w:sz w:val="23"/>
                    <w:szCs w:val="23"/>
                  </w:rPr>
                  <w:t>Abstract</w:t>
                </w:r>
              </w:p>
            </w:sdtContent>
          </w:sdt>
        </w:tc>
        <w:tc>
          <w:tcPr>
            <w:tcW w:w="8298" w:type="dxa"/>
          </w:tcPr>
          <w:p w14:paraId="40A3E9EC" w14:textId="77777777" w:rsidR="0095691D" w:rsidRPr="0095691D" w:rsidRDefault="0095691D" w:rsidP="00CD7995">
            <w:pPr>
              <w:pStyle w:val="Heading3"/>
              <w:shd w:val="clear" w:color="auto" w:fill="FFFFFF"/>
              <w:spacing w:before="0" w:beforeAutospacing="0" w:after="0" w:afterAutospacing="0"/>
              <w:rPr>
                <w:rFonts w:ascii="Calibri" w:eastAsia="Times New Roman" w:hAnsi="Calibri" w:cs="Arial"/>
                <w:color w:val="985735"/>
                <w:sz w:val="23"/>
                <w:szCs w:val="23"/>
              </w:rPr>
            </w:pPr>
            <w:r w:rsidRPr="0095691D">
              <w:rPr>
                <w:rFonts w:ascii="Calibri" w:eastAsia="Times New Roman" w:hAnsi="Calibri" w:cs="Arial"/>
                <w:color w:val="985735"/>
                <w:sz w:val="23"/>
                <w:szCs w:val="23"/>
              </w:rPr>
              <w:t>Abstract</w:t>
            </w:r>
          </w:p>
          <w:p w14:paraId="6B51D2E8" w14:textId="77777777" w:rsidR="0095691D" w:rsidRPr="0095691D" w:rsidRDefault="0095691D" w:rsidP="00CD7995">
            <w:pPr>
              <w:pStyle w:val="Heading4"/>
              <w:shd w:val="clear" w:color="auto" w:fill="FFFFFF"/>
              <w:spacing w:before="0" w:beforeAutospacing="0" w:after="0" w:afterAutospacing="0"/>
              <w:ind w:right="60"/>
              <w:rPr>
                <w:rFonts w:ascii="Calibri" w:eastAsia="Times New Roman" w:hAnsi="Calibri" w:cs="Arial"/>
                <w:caps/>
                <w:color w:val="000000"/>
                <w:sz w:val="23"/>
                <w:szCs w:val="23"/>
              </w:rPr>
            </w:pPr>
            <w:r w:rsidRPr="0095691D">
              <w:rPr>
                <w:rFonts w:ascii="Calibri" w:eastAsia="Times New Roman" w:hAnsi="Calibri" w:cs="Arial"/>
                <w:caps/>
                <w:color w:val="000000"/>
                <w:sz w:val="23"/>
                <w:szCs w:val="23"/>
              </w:rPr>
              <w:t>INTRODUCTION:</w:t>
            </w:r>
          </w:p>
          <w:p w14:paraId="3D14F5C2" w14:textId="77777777" w:rsidR="0095691D" w:rsidRPr="0095691D" w:rsidRDefault="0095691D" w:rsidP="00CD7995">
            <w:pPr>
              <w:pStyle w:val="NormalWeb"/>
              <w:shd w:val="clear" w:color="auto" w:fill="FFFFFF"/>
              <w:spacing w:before="0" w:beforeAutospacing="0" w:after="120" w:afterAutospacing="0"/>
              <w:rPr>
                <w:rFonts w:ascii="Calibri" w:hAnsi="Calibri" w:cs="Arial"/>
                <w:color w:val="000000"/>
                <w:sz w:val="23"/>
                <w:szCs w:val="23"/>
              </w:rPr>
            </w:pPr>
            <w:r w:rsidRPr="0095691D">
              <w:rPr>
                <w:rStyle w:val="highlight"/>
                <w:rFonts w:ascii="Calibri" w:hAnsi="Calibri" w:cs="Arial"/>
                <w:color w:val="000000"/>
                <w:sz w:val="23"/>
                <w:szCs w:val="23"/>
              </w:rPr>
              <w:t>Osteoporosis</w:t>
            </w:r>
            <w:r w:rsidRPr="0095691D">
              <w:rPr>
                <w:rFonts w:ascii="Calibri" w:hAnsi="Calibri" w:cs="Arial"/>
                <w:color w:val="000000"/>
                <w:sz w:val="23"/>
                <w:szCs w:val="23"/>
              </w:rPr>
              <w:t> is a progressive skeletal disorder that requires long-term treatment. However, there is little guidance regarding </w:t>
            </w:r>
            <w:r w:rsidRPr="0095691D">
              <w:rPr>
                <w:rStyle w:val="highlight"/>
                <w:rFonts w:ascii="Calibri" w:hAnsi="Calibri" w:cs="Arial"/>
                <w:color w:val="000000"/>
                <w:sz w:val="23"/>
                <w:szCs w:val="23"/>
              </w:rPr>
              <w:t>optimal</w:t>
            </w:r>
            <w:r w:rsidRPr="0095691D">
              <w:rPr>
                <w:rFonts w:ascii="Calibri" w:hAnsi="Calibri" w:cs="Arial"/>
                <w:color w:val="000000"/>
                <w:sz w:val="23"/>
                <w:szCs w:val="23"/>
              </w:rPr>
              <w:t> treatment </w:t>
            </w:r>
            <w:r w:rsidRPr="0095691D">
              <w:rPr>
                <w:rStyle w:val="highlight"/>
                <w:rFonts w:ascii="Calibri" w:hAnsi="Calibri" w:cs="Arial"/>
                <w:color w:val="000000"/>
                <w:sz w:val="23"/>
                <w:szCs w:val="23"/>
              </w:rPr>
              <w:t>duration</w:t>
            </w:r>
            <w:r w:rsidRPr="0095691D">
              <w:rPr>
                <w:rFonts w:ascii="Calibri" w:hAnsi="Calibri" w:cs="Arial"/>
                <w:color w:val="000000"/>
                <w:sz w:val="23"/>
                <w:szCs w:val="23"/>
              </w:rPr>
              <w:t> and what the treatment discontinuation and retreatment criteria should be. Given that </w:t>
            </w:r>
            <w:proofErr w:type="spellStart"/>
            <w:r w:rsidRPr="0095691D">
              <w:rPr>
                <w:rStyle w:val="highlight"/>
                <w:rFonts w:ascii="Calibri" w:hAnsi="Calibri" w:cs="Arial"/>
                <w:color w:val="000000"/>
                <w:sz w:val="23"/>
                <w:szCs w:val="23"/>
              </w:rPr>
              <w:t>bisphosphonates</w:t>
            </w:r>
            <w:r w:rsidRPr="0095691D">
              <w:rPr>
                <w:rFonts w:ascii="Calibri" w:hAnsi="Calibri" w:cs="Arial"/>
                <w:color w:val="000000"/>
                <w:sz w:val="23"/>
                <w:szCs w:val="23"/>
              </w:rPr>
              <w:t>are</w:t>
            </w:r>
            <w:proofErr w:type="spellEnd"/>
            <w:r w:rsidRPr="0095691D">
              <w:rPr>
                <w:rFonts w:ascii="Calibri" w:hAnsi="Calibri" w:cs="Arial"/>
                <w:color w:val="000000"/>
                <w:sz w:val="23"/>
                <w:szCs w:val="23"/>
              </w:rPr>
              <w:t xml:space="preserve"> the most commonly prescribed class of agent for the treatment of </w:t>
            </w:r>
            <w:r w:rsidRPr="0095691D">
              <w:rPr>
                <w:rStyle w:val="highlight"/>
                <w:rFonts w:ascii="Calibri" w:hAnsi="Calibri" w:cs="Arial"/>
                <w:color w:val="000000"/>
                <w:sz w:val="23"/>
                <w:szCs w:val="23"/>
              </w:rPr>
              <w:t>osteoporosis</w:t>
            </w:r>
            <w:r w:rsidRPr="0095691D">
              <w:rPr>
                <w:rFonts w:ascii="Calibri" w:hAnsi="Calibri" w:cs="Arial"/>
                <w:color w:val="000000"/>
                <w:sz w:val="23"/>
                <w:szCs w:val="23"/>
              </w:rPr>
              <w:t>, we reviewed the long-term data relating to these therapies and discussed the considerations for using </w:t>
            </w:r>
            <w:r w:rsidRPr="0095691D">
              <w:rPr>
                <w:rStyle w:val="highlight"/>
                <w:rFonts w:ascii="Calibri" w:hAnsi="Calibri" w:cs="Arial"/>
                <w:color w:val="000000"/>
                <w:sz w:val="23"/>
                <w:szCs w:val="23"/>
              </w:rPr>
              <w:t>bisphosphonates</w:t>
            </w:r>
            <w:r w:rsidRPr="0095691D">
              <w:rPr>
                <w:rFonts w:ascii="Calibri" w:hAnsi="Calibri" w:cs="Arial"/>
                <w:color w:val="000000"/>
                <w:sz w:val="23"/>
                <w:szCs w:val="23"/>
              </w:rPr>
              <w:t> in </w:t>
            </w:r>
            <w:r w:rsidRPr="0095691D">
              <w:rPr>
                <w:rStyle w:val="highlight"/>
                <w:rFonts w:ascii="Calibri" w:hAnsi="Calibri" w:cs="Arial"/>
                <w:color w:val="000000"/>
                <w:sz w:val="23"/>
                <w:szCs w:val="23"/>
              </w:rPr>
              <w:t>postmenopausal</w:t>
            </w:r>
            <w:r w:rsidRPr="0095691D">
              <w:rPr>
                <w:rFonts w:ascii="Calibri" w:hAnsi="Calibri" w:cs="Arial"/>
                <w:color w:val="000000"/>
                <w:sz w:val="23"/>
                <w:szCs w:val="23"/>
              </w:rPr>
              <w:t> women with </w:t>
            </w:r>
            <w:r w:rsidRPr="0095691D">
              <w:rPr>
                <w:rStyle w:val="highlight"/>
                <w:rFonts w:ascii="Calibri" w:hAnsi="Calibri" w:cs="Arial"/>
                <w:color w:val="000000"/>
                <w:sz w:val="23"/>
                <w:szCs w:val="23"/>
              </w:rPr>
              <w:t>osteoporosis</w:t>
            </w:r>
            <w:r w:rsidRPr="0095691D">
              <w:rPr>
                <w:rFonts w:ascii="Calibri" w:hAnsi="Calibri" w:cs="Arial"/>
                <w:color w:val="000000"/>
                <w:sz w:val="23"/>
                <w:szCs w:val="23"/>
              </w:rPr>
              <w:t>.</w:t>
            </w:r>
          </w:p>
          <w:p w14:paraId="6824E778" w14:textId="77777777" w:rsidR="0095691D" w:rsidRPr="0095691D" w:rsidRDefault="0095691D" w:rsidP="00CD7995">
            <w:pPr>
              <w:pStyle w:val="Heading4"/>
              <w:shd w:val="clear" w:color="auto" w:fill="FFFFFF"/>
              <w:spacing w:before="0" w:beforeAutospacing="0" w:after="0" w:afterAutospacing="0"/>
              <w:ind w:right="60"/>
              <w:rPr>
                <w:rFonts w:ascii="Calibri" w:eastAsia="Times New Roman" w:hAnsi="Calibri" w:cs="Arial"/>
                <w:caps/>
                <w:color w:val="000000"/>
                <w:sz w:val="23"/>
                <w:szCs w:val="23"/>
              </w:rPr>
            </w:pPr>
            <w:r w:rsidRPr="0095691D">
              <w:rPr>
                <w:rFonts w:ascii="Calibri" w:eastAsia="Times New Roman" w:hAnsi="Calibri" w:cs="Arial"/>
                <w:caps/>
                <w:color w:val="000000"/>
                <w:sz w:val="23"/>
                <w:szCs w:val="23"/>
              </w:rPr>
              <w:t>METHODS:</w:t>
            </w:r>
          </w:p>
          <w:p w14:paraId="6AD0D82F" w14:textId="77777777" w:rsidR="0095691D" w:rsidRPr="0095691D" w:rsidRDefault="0095691D" w:rsidP="00CD7995">
            <w:pPr>
              <w:pStyle w:val="NormalWeb"/>
              <w:shd w:val="clear" w:color="auto" w:fill="FFFFFF"/>
              <w:spacing w:before="0" w:beforeAutospacing="0" w:after="120" w:afterAutospacing="0"/>
              <w:rPr>
                <w:rFonts w:ascii="Calibri" w:hAnsi="Calibri" w:cs="Arial"/>
                <w:color w:val="000000"/>
                <w:sz w:val="23"/>
                <w:szCs w:val="23"/>
              </w:rPr>
            </w:pPr>
            <w:r w:rsidRPr="0095691D">
              <w:rPr>
                <w:rFonts w:ascii="Calibri" w:hAnsi="Calibri" w:cs="Arial"/>
                <w:color w:val="000000"/>
                <w:sz w:val="23"/>
                <w:szCs w:val="23"/>
              </w:rPr>
              <w:t>A PubMed search, using the search terms 'bisphosphonate', '</w:t>
            </w:r>
            <w:r w:rsidRPr="0095691D">
              <w:rPr>
                <w:rStyle w:val="highlight"/>
                <w:rFonts w:ascii="Calibri" w:hAnsi="Calibri" w:cs="Arial"/>
                <w:color w:val="000000"/>
                <w:sz w:val="23"/>
                <w:szCs w:val="23"/>
              </w:rPr>
              <w:t>postmenopausal osteoporosis</w:t>
            </w:r>
            <w:r w:rsidRPr="0095691D">
              <w:rPr>
                <w:rFonts w:ascii="Calibri" w:hAnsi="Calibri" w:cs="Arial"/>
                <w:color w:val="000000"/>
                <w:sz w:val="23"/>
                <w:szCs w:val="23"/>
              </w:rPr>
              <w:t xml:space="preserve">' and 'long term' and/or 'extension' was conducted in January 2013. Results from nine controlled studies that prospectively assessed alendronate, </w:t>
            </w:r>
            <w:proofErr w:type="spellStart"/>
            <w:r w:rsidRPr="0095691D">
              <w:rPr>
                <w:rFonts w:ascii="Calibri" w:hAnsi="Calibri" w:cs="Arial"/>
                <w:color w:val="000000"/>
                <w:sz w:val="23"/>
                <w:szCs w:val="23"/>
              </w:rPr>
              <w:t>risedronate</w:t>
            </w:r>
            <w:proofErr w:type="spellEnd"/>
            <w:r w:rsidRPr="0095691D">
              <w:rPr>
                <w:rFonts w:ascii="Calibri" w:hAnsi="Calibri" w:cs="Arial"/>
                <w:color w:val="000000"/>
                <w:sz w:val="23"/>
                <w:szCs w:val="23"/>
              </w:rPr>
              <w:t xml:space="preserve">, </w:t>
            </w:r>
            <w:proofErr w:type="spellStart"/>
            <w:r w:rsidRPr="0095691D">
              <w:rPr>
                <w:rFonts w:ascii="Calibri" w:hAnsi="Calibri" w:cs="Arial"/>
                <w:color w:val="000000"/>
                <w:sz w:val="23"/>
                <w:szCs w:val="23"/>
              </w:rPr>
              <w:t>ibandronate</w:t>
            </w:r>
            <w:proofErr w:type="spellEnd"/>
            <w:r w:rsidRPr="0095691D">
              <w:rPr>
                <w:rFonts w:ascii="Calibri" w:hAnsi="Calibri" w:cs="Arial"/>
                <w:color w:val="000000"/>
                <w:sz w:val="23"/>
                <w:szCs w:val="23"/>
              </w:rPr>
              <w:t xml:space="preserve"> or </w:t>
            </w:r>
            <w:proofErr w:type="spellStart"/>
            <w:r w:rsidRPr="0095691D">
              <w:rPr>
                <w:rFonts w:ascii="Calibri" w:hAnsi="Calibri" w:cs="Arial"/>
                <w:color w:val="000000"/>
                <w:sz w:val="23"/>
                <w:szCs w:val="23"/>
              </w:rPr>
              <w:t>zoledronic</w:t>
            </w:r>
            <w:proofErr w:type="spellEnd"/>
            <w:r w:rsidRPr="0095691D">
              <w:rPr>
                <w:rFonts w:ascii="Calibri" w:hAnsi="Calibri" w:cs="Arial"/>
                <w:color w:val="000000"/>
                <w:sz w:val="23"/>
                <w:szCs w:val="23"/>
              </w:rPr>
              <w:t xml:space="preserve"> acid in women with </w:t>
            </w:r>
            <w:r w:rsidRPr="0095691D">
              <w:rPr>
                <w:rStyle w:val="highlight"/>
                <w:rFonts w:ascii="Calibri" w:hAnsi="Calibri" w:cs="Arial"/>
                <w:color w:val="000000"/>
                <w:sz w:val="23"/>
                <w:szCs w:val="23"/>
              </w:rPr>
              <w:t>postmenopausal osteoporosis</w:t>
            </w:r>
            <w:r w:rsidRPr="0095691D">
              <w:rPr>
                <w:rFonts w:ascii="Calibri" w:hAnsi="Calibri" w:cs="Arial"/>
                <w:color w:val="000000"/>
                <w:sz w:val="23"/>
                <w:szCs w:val="23"/>
              </w:rPr>
              <w:t> were reviewed.</w:t>
            </w:r>
          </w:p>
          <w:p w14:paraId="69026AFF" w14:textId="77777777" w:rsidR="0095691D" w:rsidRPr="0095691D" w:rsidRDefault="0095691D" w:rsidP="00CD7995">
            <w:pPr>
              <w:pStyle w:val="Heading4"/>
              <w:shd w:val="clear" w:color="auto" w:fill="FFFFFF"/>
              <w:spacing w:before="0" w:beforeAutospacing="0" w:after="0" w:afterAutospacing="0"/>
              <w:ind w:right="60"/>
              <w:rPr>
                <w:rFonts w:ascii="Calibri" w:eastAsia="Times New Roman" w:hAnsi="Calibri" w:cs="Arial"/>
                <w:caps/>
                <w:color w:val="000000"/>
                <w:sz w:val="23"/>
                <w:szCs w:val="23"/>
              </w:rPr>
            </w:pPr>
            <w:r w:rsidRPr="0095691D">
              <w:rPr>
                <w:rFonts w:ascii="Calibri" w:eastAsia="Times New Roman" w:hAnsi="Calibri" w:cs="Arial"/>
                <w:caps/>
                <w:color w:val="000000"/>
                <w:sz w:val="23"/>
                <w:szCs w:val="23"/>
              </w:rPr>
              <w:t>FINDINGS:</w:t>
            </w:r>
          </w:p>
          <w:p w14:paraId="1CCFB672" w14:textId="77777777" w:rsidR="0095691D" w:rsidRPr="0095691D" w:rsidRDefault="0095691D" w:rsidP="00CD7995">
            <w:pPr>
              <w:pStyle w:val="NormalWeb"/>
              <w:shd w:val="clear" w:color="auto" w:fill="FFFFFF"/>
              <w:spacing w:before="0" w:beforeAutospacing="0" w:after="120" w:afterAutospacing="0"/>
              <w:rPr>
                <w:rFonts w:ascii="Calibri" w:hAnsi="Calibri" w:cs="Arial"/>
                <w:color w:val="000000"/>
                <w:sz w:val="23"/>
                <w:szCs w:val="23"/>
              </w:rPr>
            </w:pPr>
            <w:r w:rsidRPr="0095691D">
              <w:rPr>
                <w:rFonts w:ascii="Calibri" w:hAnsi="Calibri" w:cs="Arial"/>
                <w:color w:val="000000"/>
                <w:sz w:val="23"/>
                <w:szCs w:val="23"/>
              </w:rPr>
              <w:t>Clinical studies in </w:t>
            </w:r>
            <w:r w:rsidRPr="0095691D">
              <w:rPr>
                <w:rStyle w:val="highlight"/>
                <w:rFonts w:ascii="Calibri" w:hAnsi="Calibri" w:cs="Arial"/>
                <w:color w:val="000000"/>
                <w:sz w:val="23"/>
                <w:szCs w:val="23"/>
              </w:rPr>
              <w:t>postmenopausal</w:t>
            </w:r>
            <w:r w:rsidRPr="0095691D">
              <w:rPr>
                <w:rFonts w:ascii="Calibri" w:hAnsi="Calibri" w:cs="Arial"/>
                <w:color w:val="000000"/>
                <w:sz w:val="23"/>
                <w:szCs w:val="23"/>
              </w:rPr>
              <w:t> women with </w:t>
            </w:r>
            <w:r w:rsidRPr="0095691D">
              <w:rPr>
                <w:rStyle w:val="highlight"/>
                <w:rFonts w:ascii="Calibri" w:hAnsi="Calibri" w:cs="Arial"/>
                <w:color w:val="000000"/>
                <w:sz w:val="23"/>
                <w:szCs w:val="23"/>
              </w:rPr>
              <w:t>osteoporosis</w:t>
            </w:r>
            <w:r w:rsidRPr="0095691D">
              <w:rPr>
                <w:rFonts w:ascii="Calibri" w:hAnsi="Calibri" w:cs="Arial"/>
                <w:color w:val="000000"/>
                <w:sz w:val="23"/>
                <w:szCs w:val="23"/>
              </w:rPr>
              <w:t> showed that long-term use of </w:t>
            </w:r>
            <w:r w:rsidRPr="0095691D">
              <w:rPr>
                <w:rStyle w:val="highlight"/>
                <w:rFonts w:ascii="Calibri" w:hAnsi="Calibri" w:cs="Arial"/>
                <w:color w:val="000000"/>
                <w:sz w:val="23"/>
                <w:szCs w:val="23"/>
              </w:rPr>
              <w:t>bisphosphonates</w:t>
            </w:r>
            <w:r w:rsidRPr="0095691D">
              <w:rPr>
                <w:rFonts w:ascii="Calibri" w:hAnsi="Calibri" w:cs="Arial"/>
                <w:color w:val="000000"/>
                <w:sz w:val="23"/>
                <w:szCs w:val="23"/>
              </w:rPr>
              <w:t xml:space="preserve"> resulted in persistent </w:t>
            </w:r>
            <w:proofErr w:type="spellStart"/>
            <w:r w:rsidRPr="0095691D">
              <w:rPr>
                <w:rFonts w:ascii="Calibri" w:hAnsi="Calibri" w:cs="Arial"/>
                <w:color w:val="000000"/>
                <w:sz w:val="23"/>
                <w:szCs w:val="23"/>
              </w:rPr>
              <w:t>antifracture</w:t>
            </w:r>
            <w:proofErr w:type="spellEnd"/>
            <w:r w:rsidRPr="0095691D">
              <w:rPr>
                <w:rFonts w:ascii="Calibri" w:hAnsi="Calibri" w:cs="Arial"/>
                <w:color w:val="000000"/>
                <w:sz w:val="23"/>
                <w:szCs w:val="23"/>
              </w:rPr>
              <w:t xml:space="preserve"> and bone mineral density (BMD) increasing effects beyond 3 years of treatment. No unexpected adverse events were identified in these studies and the long-term tolerability profiles of </w:t>
            </w:r>
            <w:r w:rsidRPr="0095691D">
              <w:rPr>
                <w:rStyle w:val="highlight"/>
                <w:rFonts w:ascii="Calibri" w:hAnsi="Calibri" w:cs="Arial"/>
                <w:color w:val="000000"/>
                <w:sz w:val="23"/>
                <w:szCs w:val="23"/>
              </w:rPr>
              <w:t>bisphosphonates</w:t>
            </w:r>
            <w:r w:rsidRPr="0095691D">
              <w:rPr>
                <w:rFonts w:ascii="Calibri" w:hAnsi="Calibri" w:cs="Arial"/>
                <w:color w:val="000000"/>
                <w:sz w:val="23"/>
                <w:szCs w:val="23"/>
              </w:rPr>
              <w:t xml:space="preserve"> remain favorable. Data from the withdrawal extension studies of alendronate and </w:t>
            </w:r>
            <w:proofErr w:type="spellStart"/>
            <w:r w:rsidRPr="0095691D">
              <w:rPr>
                <w:rFonts w:ascii="Calibri" w:hAnsi="Calibri" w:cs="Arial"/>
                <w:color w:val="000000"/>
                <w:sz w:val="23"/>
                <w:szCs w:val="23"/>
              </w:rPr>
              <w:t>zoledronic</w:t>
            </w:r>
            <w:proofErr w:type="spellEnd"/>
            <w:r w:rsidRPr="0095691D">
              <w:rPr>
                <w:rFonts w:ascii="Calibri" w:hAnsi="Calibri" w:cs="Arial"/>
                <w:color w:val="000000"/>
                <w:sz w:val="23"/>
                <w:szCs w:val="23"/>
              </w:rPr>
              <w:t xml:space="preserve"> acid also showed that residual fracture benefits were seen in patients who discontinued treatment for 3 to 5 years after an initial 3- to 5-year treatment period. BMD monitoring and fracture risk assessments should be conducted regularly to determine whether treatment could be stopped or should be reinitiated. Patients exhibiting T-scores&lt;-2.5 or who have suffered a new fracture while on treatment should continue treatment, while patients with T-scores&gt;-2.5 could be considered for discontinuation of active treatment while undergoing continued monitoring of their bone health. The </w:t>
            </w:r>
            <w:r w:rsidRPr="0095691D">
              <w:rPr>
                <w:rStyle w:val="highlight"/>
                <w:rFonts w:ascii="Calibri" w:hAnsi="Calibri" w:cs="Arial"/>
                <w:color w:val="000000"/>
                <w:sz w:val="23"/>
                <w:szCs w:val="23"/>
              </w:rPr>
              <w:t>duration</w:t>
            </w:r>
            <w:r w:rsidRPr="0095691D">
              <w:rPr>
                <w:rFonts w:ascii="Calibri" w:hAnsi="Calibri" w:cs="Arial"/>
                <w:color w:val="000000"/>
                <w:sz w:val="23"/>
                <w:szCs w:val="23"/>
              </w:rPr>
              <w:t> and potential discontinuation of treatment should be personalized for individual patients based on their response to treatment, fracture risk and comorbidities.</w:t>
            </w:r>
          </w:p>
        </w:tc>
      </w:tr>
      <w:tr w:rsidR="0095691D" w:rsidRPr="0095691D" w14:paraId="4C94A067" w14:textId="77777777" w:rsidTr="00CD7995">
        <w:tc>
          <w:tcPr>
            <w:tcW w:w="1278" w:type="dxa"/>
          </w:tcPr>
          <w:sdt>
            <w:sdtPr>
              <w:rPr>
                <w:rFonts w:ascii="Calibri" w:hAnsi="Calibri"/>
                <w:sz w:val="23"/>
                <w:szCs w:val="23"/>
              </w:rPr>
              <w:tag w:val="goog_rdk_109"/>
              <w:id w:val="531384646"/>
            </w:sdtPr>
            <w:sdtEndPr/>
            <w:sdtContent>
              <w:p w14:paraId="70E3AF49" w14:textId="77777777" w:rsidR="0095691D" w:rsidRPr="0095691D" w:rsidRDefault="0095691D" w:rsidP="00CD7995">
                <w:pPr>
                  <w:rPr>
                    <w:rFonts w:ascii="Calibri" w:hAnsi="Calibri"/>
                    <w:b/>
                    <w:sz w:val="23"/>
                    <w:szCs w:val="23"/>
                  </w:rPr>
                </w:pPr>
                <w:r w:rsidRPr="0095691D">
                  <w:rPr>
                    <w:rFonts w:ascii="Calibri" w:hAnsi="Calibri"/>
                    <w:b/>
                    <w:sz w:val="23"/>
                    <w:szCs w:val="23"/>
                  </w:rPr>
                  <w:t>PDF Link</w:t>
                </w:r>
              </w:p>
            </w:sdtContent>
          </w:sdt>
        </w:tc>
        <w:tc>
          <w:tcPr>
            <w:tcW w:w="8298" w:type="dxa"/>
          </w:tcPr>
          <w:sdt>
            <w:sdtPr>
              <w:rPr>
                <w:rFonts w:ascii="Calibri" w:hAnsi="Calibri"/>
                <w:sz w:val="23"/>
                <w:szCs w:val="23"/>
              </w:rPr>
              <w:tag w:val="goog_rdk_110"/>
              <w:id w:val="1648931426"/>
            </w:sdtPr>
            <w:sdtEndPr/>
            <w:sdtContent>
              <w:p w14:paraId="69C8849E" w14:textId="37F92869" w:rsidR="0095691D" w:rsidRPr="0095691D" w:rsidRDefault="006D20A8" w:rsidP="00CD7995">
                <w:pPr>
                  <w:rPr>
                    <w:rFonts w:ascii="Calibri" w:hAnsi="Calibri"/>
                    <w:sz w:val="23"/>
                    <w:szCs w:val="23"/>
                  </w:rPr>
                </w:pPr>
                <w:r>
                  <w:rPr>
                    <w:rFonts w:ascii="Calibri" w:hAnsi="Calibri"/>
                    <w:sz w:val="23"/>
                    <w:szCs w:val="23"/>
                  </w:rPr>
                  <w:t>Article 4</w:t>
                </w:r>
                <w:r w:rsidR="0095691D" w:rsidRPr="0095691D">
                  <w:rPr>
                    <w:rFonts w:ascii="Calibri" w:hAnsi="Calibri"/>
                    <w:sz w:val="23"/>
                    <w:szCs w:val="23"/>
                  </w:rPr>
                  <w:t xml:space="preserve"> - </w:t>
                </w:r>
                <w:proofErr w:type="spellStart"/>
                <w:r w:rsidR="0095691D" w:rsidRPr="0095691D">
                  <w:rPr>
                    <w:rFonts w:ascii="Calibri" w:hAnsi="Calibri"/>
                    <w:sz w:val="23"/>
                    <w:szCs w:val="23"/>
                  </w:rPr>
                  <w:t>Eriksen</w:t>
                </w:r>
                <w:proofErr w:type="spellEnd"/>
              </w:p>
            </w:sdtContent>
          </w:sdt>
        </w:tc>
      </w:tr>
    </w:tbl>
    <w:p w14:paraId="19E037A2" w14:textId="77777777" w:rsidR="0095691D" w:rsidRDefault="0095691D">
      <w:pPr>
        <w:rPr>
          <w:rFonts w:ascii="Calibri" w:hAnsi="Calibri"/>
          <w:sz w:val="23"/>
          <w:szCs w:val="23"/>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8298"/>
      </w:tblGrid>
      <w:tr w:rsidR="006D522A" w:rsidRPr="0095691D" w14:paraId="74184D1C" w14:textId="77777777" w:rsidTr="006D522A">
        <w:tc>
          <w:tcPr>
            <w:tcW w:w="1278" w:type="dxa"/>
            <w:tcBorders>
              <w:top w:val="single" w:sz="4" w:space="0" w:color="000000"/>
              <w:left w:val="single" w:sz="4" w:space="0" w:color="000000"/>
              <w:bottom w:val="single" w:sz="4" w:space="0" w:color="000000"/>
              <w:right w:val="single" w:sz="4" w:space="0" w:color="000000"/>
            </w:tcBorders>
          </w:tcPr>
          <w:sdt>
            <w:sdtPr>
              <w:rPr>
                <w:rFonts w:ascii="Calibri" w:hAnsi="Calibri"/>
                <w:sz w:val="23"/>
                <w:szCs w:val="23"/>
              </w:rPr>
              <w:tag w:val="goog_rdk_85"/>
              <w:id w:val="2111546986"/>
            </w:sdtPr>
            <w:sdtEndPr/>
            <w:sdtContent>
              <w:p w14:paraId="38792FF2" w14:textId="77777777" w:rsidR="006D522A" w:rsidRPr="006D522A" w:rsidRDefault="006D522A" w:rsidP="00752FB1">
                <w:pPr>
                  <w:rPr>
                    <w:rFonts w:ascii="Calibri" w:hAnsi="Calibri"/>
                    <w:sz w:val="23"/>
                    <w:szCs w:val="23"/>
                  </w:rPr>
                </w:pPr>
                <w:r w:rsidRPr="00572A16">
                  <w:rPr>
                    <w:rFonts w:ascii="Calibri" w:hAnsi="Calibri"/>
                    <w:b/>
                    <w:sz w:val="23"/>
                    <w:szCs w:val="23"/>
                  </w:rPr>
                  <w:t>Citation</w:t>
                </w:r>
              </w:p>
            </w:sdtContent>
          </w:sdt>
        </w:tc>
        <w:tc>
          <w:tcPr>
            <w:tcW w:w="8298" w:type="dxa"/>
            <w:tcBorders>
              <w:top w:val="single" w:sz="4" w:space="0" w:color="000000"/>
              <w:left w:val="single" w:sz="4" w:space="0" w:color="000000"/>
              <w:bottom w:val="single" w:sz="4" w:space="0" w:color="000000"/>
              <w:right w:val="single" w:sz="4" w:space="0" w:color="000000"/>
            </w:tcBorders>
          </w:tcPr>
          <w:p w14:paraId="77263AE5" w14:textId="2ED4DD33" w:rsidR="00572A16" w:rsidRPr="00572A16" w:rsidRDefault="00572A16" w:rsidP="00572A16">
            <w:pPr>
              <w:pStyle w:val="Title"/>
              <w:shd w:val="clear" w:color="auto" w:fill="FFFFFF"/>
              <w:spacing w:before="0" w:beforeAutospacing="0" w:after="0" w:afterAutospacing="0"/>
              <w:rPr>
                <w:rFonts w:ascii="Calibri" w:hAnsi="Calibri" w:cs="Arial"/>
                <w:color w:val="000000"/>
                <w:sz w:val="23"/>
                <w:szCs w:val="23"/>
              </w:rPr>
            </w:pPr>
            <w:r w:rsidRPr="00572A16">
              <w:rPr>
                <w:rFonts w:ascii="Calibri" w:hAnsi="Calibri" w:cs="Arial"/>
                <w:color w:val="000000"/>
                <w:sz w:val="23"/>
                <w:szCs w:val="23"/>
              </w:rPr>
              <w:t xml:space="preserve">5. </w:t>
            </w:r>
            <w:hyperlink r:id="rId10" w:history="1">
              <w:r w:rsidRPr="00572A16">
                <w:rPr>
                  <w:rStyle w:val="Hyperlink"/>
                  <w:rFonts w:ascii="Calibri" w:hAnsi="Calibri" w:cs="Arial"/>
                  <w:color w:val="642A8F"/>
                  <w:sz w:val="23"/>
                  <w:szCs w:val="23"/>
                </w:rPr>
                <w:t>Bisphosphonate Treatment in </w:t>
              </w:r>
              <w:r w:rsidRPr="00572A16">
                <w:rPr>
                  <w:rStyle w:val="Hyperlink"/>
                  <w:rFonts w:ascii="Calibri" w:hAnsi="Calibri" w:cs="Arial"/>
                  <w:b/>
                  <w:bCs/>
                  <w:color w:val="642A8F"/>
                  <w:sz w:val="23"/>
                  <w:szCs w:val="23"/>
                </w:rPr>
                <w:t>Osteoporosis</w:t>
              </w:r>
              <w:r w:rsidRPr="00572A16">
                <w:rPr>
                  <w:rStyle w:val="Hyperlink"/>
                  <w:rFonts w:ascii="Calibri" w:hAnsi="Calibri" w:cs="Arial"/>
                  <w:color w:val="642A8F"/>
                  <w:sz w:val="23"/>
                  <w:szCs w:val="23"/>
                </w:rPr>
                <w:t>: </w:t>
              </w:r>
              <w:r w:rsidRPr="00572A16">
                <w:rPr>
                  <w:rStyle w:val="Hyperlink"/>
                  <w:rFonts w:ascii="Calibri" w:hAnsi="Calibri" w:cs="Arial"/>
                  <w:b/>
                  <w:bCs/>
                  <w:color w:val="642A8F"/>
                  <w:sz w:val="23"/>
                  <w:szCs w:val="23"/>
                </w:rPr>
                <w:t>Optimal</w:t>
              </w:r>
              <w:r w:rsidRPr="00572A16">
                <w:rPr>
                  <w:rStyle w:val="Hyperlink"/>
                  <w:rFonts w:ascii="Calibri" w:hAnsi="Calibri" w:cs="Arial"/>
                  <w:color w:val="642A8F"/>
                  <w:sz w:val="23"/>
                  <w:szCs w:val="23"/>
                </w:rPr>
                <w:t> </w:t>
              </w:r>
              <w:r w:rsidRPr="00572A16">
                <w:rPr>
                  <w:rStyle w:val="Hyperlink"/>
                  <w:rFonts w:ascii="Calibri" w:hAnsi="Calibri" w:cs="Arial"/>
                  <w:b/>
                  <w:bCs/>
                  <w:color w:val="642A8F"/>
                  <w:sz w:val="23"/>
                  <w:szCs w:val="23"/>
                </w:rPr>
                <w:t>Duration</w:t>
              </w:r>
              <w:r w:rsidRPr="00572A16">
                <w:rPr>
                  <w:rStyle w:val="Hyperlink"/>
                  <w:rFonts w:ascii="Calibri" w:hAnsi="Calibri" w:cs="Arial"/>
                  <w:color w:val="642A8F"/>
                  <w:sz w:val="23"/>
                  <w:szCs w:val="23"/>
                </w:rPr>
                <w:t> of Therapy and the Incorporation of a Drug Holiday.</w:t>
              </w:r>
            </w:hyperlink>
          </w:p>
          <w:p w14:paraId="10AE516A" w14:textId="77777777" w:rsidR="00572A16" w:rsidRPr="00572A16" w:rsidRDefault="00572A16" w:rsidP="00572A16">
            <w:pPr>
              <w:pStyle w:val="desc"/>
              <w:shd w:val="clear" w:color="auto" w:fill="FFFFFF"/>
              <w:spacing w:before="0" w:beforeAutospacing="0" w:after="0" w:afterAutospacing="0"/>
              <w:rPr>
                <w:rFonts w:ascii="Calibri" w:hAnsi="Calibri" w:cs="Arial"/>
                <w:color w:val="000000"/>
                <w:sz w:val="23"/>
                <w:szCs w:val="23"/>
              </w:rPr>
            </w:pPr>
            <w:r w:rsidRPr="00572A16">
              <w:rPr>
                <w:rFonts w:ascii="Calibri" w:hAnsi="Calibri" w:cs="Arial"/>
                <w:color w:val="000000"/>
                <w:sz w:val="23"/>
                <w:szCs w:val="23"/>
              </w:rPr>
              <w:t xml:space="preserve">Villa JC, </w:t>
            </w:r>
            <w:proofErr w:type="spellStart"/>
            <w:r w:rsidRPr="00572A16">
              <w:rPr>
                <w:rFonts w:ascii="Calibri" w:hAnsi="Calibri" w:cs="Arial"/>
                <w:color w:val="000000"/>
                <w:sz w:val="23"/>
                <w:szCs w:val="23"/>
              </w:rPr>
              <w:t>Gianakos</w:t>
            </w:r>
            <w:proofErr w:type="spellEnd"/>
            <w:r w:rsidRPr="00572A16">
              <w:rPr>
                <w:rFonts w:ascii="Calibri" w:hAnsi="Calibri" w:cs="Arial"/>
                <w:color w:val="000000"/>
                <w:sz w:val="23"/>
                <w:szCs w:val="23"/>
              </w:rPr>
              <w:t xml:space="preserve"> A, Lane JM.</w:t>
            </w:r>
          </w:p>
          <w:p w14:paraId="0A760A7B" w14:textId="77777777" w:rsidR="00572A16" w:rsidRPr="00572A16" w:rsidRDefault="00572A16" w:rsidP="00572A16">
            <w:pPr>
              <w:pStyle w:val="details"/>
              <w:shd w:val="clear" w:color="auto" w:fill="FFFFFF"/>
              <w:spacing w:before="0" w:beforeAutospacing="0" w:after="0" w:afterAutospacing="0"/>
              <w:rPr>
                <w:rFonts w:ascii="Calibri" w:hAnsi="Calibri" w:cs="Arial"/>
                <w:color w:val="000000"/>
                <w:sz w:val="23"/>
                <w:szCs w:val="23"/>
              </w:rPr>
            </w:pPr>
            <w:r w:rsidRPr="00572A16">
              <w:rPr>
                <w:rStyle w:val="jrnl"/>
                <w:rFonts w:ascii="Calibri" w:hAnsi="Calibri" w:cs="Arial"/>
                <w:color w:val="000000"/>
                <w:sz w:val="23"/>
                <w:szCs w:val="23"/>
              </w:rPr>
              <w:t>HSS J</w:t>
            </w:r>
            <w:r w:rsidRPr="00572A16">
              <w:rPr>
                <w:rFonts w:ascii="Calibri" w:hAnsi="Calibri" w:cs="Arial"/>
                <w:color w:val="000000"/>
                <w:sz w:val="23"/>
                <w:szCs w:val="23"/>
              </w:rPr>
              <w:t>. 2016 Feb</w:t>
            </w:r>
            <w:proofErr w:type="gramStart"/>
            <w:r w:rsidRPr="00572A16">
              <w:rPr>
                <w:rFonts w:ascii="Calibri" w:hAnsi="Calibri" w:cs="Arial"/>
                <w:color w:val="000000"/>
                <w:sz w:val="23"/>
                <w:szCs w:val="23"/>
              </w:rPr>
              <w:t>;12</w:t>
            </w:r>
            <w:proofErr w:type="gramEnd"/>
            <w:r w:rsidRPr="00572A16">
              <w:rPr>
                <w:rFonts w:ascii="Calibri" w:hAnsi="Calibri" w:cs="Arial"/>
                <w:color w:val="000000"/>
                <w:sz w:val="23"/>
                <w:szCs w:val="23"/>
              </w:rPr>
              <w:t xml:space="preserve">(1):66-73. </w:t>
            </w:r>
            <w:proofErr w:type="spellStart"/>
            <w:proofErr w:type="gramStart"/>
            <w:r w:rsidRPr="00572A16">
              <w:rPr>
                <w:rFonts w:ascii="Calibri" w:hAnsi="Calibri" w:cs="Arial"/>
                <w:color w:val="000000"/>
                <w:sz w:val="23"/>
                <w:szCs w:val="23"/>
              </w:rPr>
              <w:t>doi</w:t>
            </w:r>
            <w:proofErr w:type="spellEnd"/>
            <w:proofErr w:type="gramEnd"/>
            <w:r w:rsidRPr="00572A16">
              <w:rPr>
                <w:rFonts w:ascii="Calibri" w:hAnsi="Calibri" w:cs="Arial"/>
                <w:color w:val="000000"/>
                <w:sz w:val="23"/>
                <w:szCs w:val="23"/>
              </w:rPr>
              <w:t xml:space="preserve">: 10.1007/s11420-015-9469-1. </w:t>
            </w:r>
            <w:proofErr w:type="spellStart"/>
            <w:r w:rsidRPr="00572A16">
              <w:rPr>
                <w:rFonts w:ascii="Calibri" w:hAnsi="Calibri" w:cs="Arial"/>
                <w:color w:val="000000"/>
                <w:sz w:val="23"/>
                <w:szCs w:val="23"/>
              </w:rPr>
              <w:t>Epub</w:t>
            </w:r>
            <w:proofErr w:type="spellEnd"/>
            <w:r w:rsidRPr="00572A16">
              <w:rPr>
                <w:rFonts w:ascii="Calibri" w:hAnsi="Calibri" w:cs="Arial"/>
                <w:color w:val="000000"/>
                <w:sz w:val="23"/>
                <w:szCs w:val="23"/>
              </w:rPr>
              <w:t xml:space="preserve"> 2015 Dec 9. Review.</w:t>
            </w:r>
          </w:p>
          <w:p w14:paraId="07C0375B" w14:textId="149D3387" w:rsidR="006D522A" w:rsidRPr="00572A16" w:rsidRDefault="00572A16" w:rsidP="00572A16">
            <w:pPr>
              <w:shd w:val="clear" w:color="auto" w:fill="FFFFFF"/>
              <w:spacing w:line="336" w:lineRule="atLeast"/>
              <w:ind w:right="225"/>
              <w:rPr>
                <w:rFonts w:ascii="Calibri" w:eastAsia="Times New Roman" w:hAnsi="Calibri" w:cs="Arial"/>
                <w:color w:val="575757"/>
                <w:sz w:val="23"/>
                <w:szCs w:val="23"/>
              </w:rPr>
            </w:pPr>
            <w:r w:rsidRPr="00572A16">
              <w:rPr>
                <w:rFonts w:ascii="Calibri" w:eastAsia="Times New Roman" w:hAnsi="Calibri" w:cs="Arial"/>
                <w:color w:val="575757"/>
                <w:sz w:val="23"/>
                <w:szCs w:val="23"/>
              </w:rPr>
              <w:t>PMID: 26855630</w:t>
            </w:r>
          </w:p>
        </w:tc>
      </w:tr>
      <w:tr w:rsidR="006D522A" w:rsidRPr="0095691D" w14:paraId="65D1C5AA" w14:textId="77777777" w:rsidTr="006D522A">
        <w:tc>
          <w:tcPr>
            <w:tcW w:w="1278" w:type="dxa"/>
            <w:tcBorders>
              <w:top w:val="single" w:sz="4" w:space="0" w:color="000000"/>
              <w:left w:val="single" w:sz="4" w:space="0" w:color="000000"/>
              <w:bottom w:val="single" w:sz="4" w:space="0" w:color="000000"/>
              <w:right w:val="single" w:sz="4" w:space="0" w:color="000000"/>
            </w:tcBorders>
          </w:tcPr>
          <w:sdt>
            <w:sdtPr>
              <w:rPr>
                <w:rFonts w:ascii="Calibri" w:hAnsi="Calibri"/>
                <w:sz w:val="23"/>
                <w:szCs w:val="23"/>
              </w:rPr>
              <w:tag w:val="goog_rdk_90"/>
              <w:id w:val="-2021612649"/>
            </w:sdtPr>
            <w:sdtEndPr/>
            <w:sdtContent>
              <w:p w14:paraId="63532E12" w14:textId="77777777" w:rsidR="006D522A" w:rsidRPr="006D522A" w:rsidRDefault="006D522A" w:rsidP="00752FB1">
                <w:pPr>
                  <w:rPr>
                    <w:rFonts w:ascii="Calibri" w:hAnsi="Calibri"/>
                    <w:sz w:val="23"/>
                    <w:szCs w:val="23"/>
                  </w:rPr>
                </w:pPr>
                <w:r w:rsidRPr="00572A16">
                  <w:rPr>
                    <w:rFonts w:ascii="Calibri" w:hAnsi="Calibri"/>
                    <w:b/>
                    <w:sz w:val="23"/>
                    <w:szCs w:val="23"/>
                  </w:rPr>
                  <w:t>Abstract</w:t>
                </w:r>
              </w:p>
            </w:sdtContent>
          </w:sdt>
        </w:tc>
        <w:tc>
          <w:tcPr>
            <w:tcW w:w="8298" w:type="dxa"/>
            <w:tcBorders>
              <w:top w:val="single" w:sz="4" w:space="0" w:color="000000"/>
              <w:left w:val="single" w:sz="4" w:space="0" w:color="000000"/>
              <w:bottom w:val="single" w:sz="4" w:space="0" w:color="000000"/>
              <w:right w:val="single" w:sz="4" w:space="0" w:color="000000"/>
            </w:tcBorders>
          </w:tcPr>
          <w:p w14:paraId="33002414" w14:textId="77777777" w:rsidR="006D522A" w:rsidRPr="006D522A" w:rsidRDefault="006D522A" w:rsidP="006D522A">
            <w:pPr>
              <w:pStyle w:val="Heading3"/>
              <w:shd w:val="clear" w:color="auto" w:fill="FFFFFF"/>
              <w:spacing w:before="0" w:beforeAutospacing="0" w:after="0" w:afterAutospacing="0"/>
              <w:rPr>
                <w:rFonts w:ascii="Calibri" w:eastAsia="Times New Roman" w:hAnsi="Calibri" w:cs="Arial"/>
                <w:color w:val="985735"/>
                <w:sz w:val="23"/>
                <w:szCs w:val="23"/>
              </w:rPr>
            </w:pPr>
            <w:r w:rsidRPr="006D522A">
              <w:rPr>
                <w:rFonts w:ascii="Calibri" w:eastAsia="Times New Roman" w:hAnsi="Calibri" w:cs="Arial"/>
                <w:color w:val="985735"/>
                <w:sz w:val="23"/>
                <w:szCs w:val="23"/>
              </w:rPr>
              <w:t>Abstract</w:t>
            </w:r>
          </w:p>
          <w:p w14:paraId="2774D3A1" w14:textId="77777777" w:rsidR="006D522A" w:rsidRPr="006D522A" w:rsidRDefault="006D522A" w:rsidP="006D522A">
            <w:pPr>
              <w:pStyle w:val="Heading4"/>
              <w:shd w:val="clear" w:color="auto" w:fill="FFFFFF"/>
              <w:spacing w:before="0" w:beforeAutospacing="0" w:after="0" w:afterAutospacing="0"/>
              <w:ind w:right="60"/>
              <w:rPr>
                <w:rFonts w:ascii="Calibri" w:eastAsia="Times New Roman" w:hAnsi="Calibri" w:cs="Arial"/>
                <w:caps/>
                <w:color w:val="000000"/>
                <w:sz w:val="23"/>
                <w:szCs w:val="23"/>
              </w:rPr>
            </w:pPr>
            <w:r w:rsidRPr="006D522A">
              <w:rPr>
                <w:rFonts w:ascii="Calibri" w:eastAsia="Times New Roman" w:hAnsi="Calibri" w:cs="Arial"/>
                <w:caps/>
                <w:color w:val="000000"/>
                <w:sz w:val="23"/>
                <w:szCs w:val="23"/>
              </w:rPr>
              <w:t>BACKGROUND:</w:t>
            </w:r>
          </w:p>
          <w:p w14:paraId="47E7A273" w14:textId="77777777" w:rsidR="006D522A" w:rsidRPr="006D522A" w:rsidRDefault="006D522A" w:rsidP="006D522A">
            <w:pPr>
              <w:pStyle w:val="NormalWeb"/>
              <w:shd w:val="clear" w:color="auto" w:fill="FFFFFF"/>
              <w:spacing w:before="0" w:beforeAutospacing="0" w:after="120" w:afterAutospacing="0"/>
              <w:rPr>
                <w:rFonts w:ascii="Calibri" w:eastAsiaTheme="minorEastAsia" w:hAnsi="Calibri" w:cs="Arial"/>
                <w:color w:val="000000"/>
                <w:sz w:val="23"/>
                <w:szCs w:val="23"/>
              </w:rPr>
            </w:pPr>
            <w:r w:rsidRPr="006D522A">
              <w:rPr>
                <w:rFonts w:ascii="Calibri" w:hAnsi="Calibri" w:cs="Arial"/>
                <w:color w:val="000000"/>
                <w:sz w:val="23"/>
                <w:szCs w:val="23"/>
              </w:rPr>
              <w:t>Bisphosphonates are the most widely used </w:t>
            </w:r>
            <w:r w:rsidRPr="006D522A">
              <w:rPr>
                <w:rStyle w:val="highlight"/>
                <w:rFonts w:ascii="Calibri" w:hAnsi="Calibri" w:cs="Arial"/>
                <w:color w:val="000000"/>
                <w:sz w:val="23"/>
                <w:szCs w:val="23"/>
              </w:rPr>
              <w:t>treatment</w:t>
            </w:r>
            <w:r w:rsidRPr="006D522A">
              <w:rPr>
                <w:rFonts w:ascii="Calibri" w:hAnsi="Calibri" w:cs="Arial"/>
                <w:color w:val="000000"/>
                <w:sz w:val="23"/>
                <w:szCs w:val="23"/>
              </w:rPr>
              <w:t> for </w:t>
            </w:r>
            <w:r w:rsidRPr="006D522A">
              <w:rPr>
                <w:rStyle w:val="highlight"/>
                <w:rFonts w:ascii="Calibri" w:hAnsi="Calibri" w:cs="Arial"/>
                <w:color w:val="000000"/>
                <w:sz w:val="23"/>
                <w:szCs w:val="23"/>
              </w:rPr>
              <w:t>osteoporosis</w:t>
            </w:r>
            <w:r w:rsidRPr="006D522A">
              <w:rPr>
                <w:rFonts w:ascii="Calibri" w:hAnsi="Calibri" w:cs="Arial"/>
                <w:color w:val="000000"/>
                <w:sz w:val="23"/>
                <w:szCs w:val="23"/>
              </w:rPr>
              <w:t>. They accumulate in the bone for years, and therefore, their inhibitory effects on osteoclasts may persist after drug discontinuation. The ideal duration of therapy remains controversial.</w:t>
            </w:r>
          </w:p>
          <w:p w14:paraId="1C500340" w14:textId="77777777" w:rsidR="006D522A" w:rsidRPr="006D522A" w:rsidRDefault="006D522A" w:rsidP="006D522A">
            <w:pPr>
              <w:pStyle w:val="Heading4"/>
              <w:shd w:val="clear" w:color="auto" w:fill="FFFFFF"/>
              <w:spacing w:before="0" w:beforeAutospacing="0" w:after="0" w:afterAutospacing="0"/>
              <w:ind w:right="60"/>
              <w:rPr>
                <w:rFonts w:ascii="Calibri" w:eastAsia="Times New Roman" w:hAnsi="Calibri" w:cs="Arial"/>
                <w:caps/>
                <w:color w:val="000000"/>
                <w:sz w:val="23"/>
                <w:szCs w:val="23"/>
              </w:rPr>
            </w:pPr>
            <w:r w:rsidRPr="006D522A">
              <w:rPr>
                <w:rFonts w:ascii="Calibri" w:eastAsia="Times New Roman" w:hAnsi="Calibri" w:cs="Arial"/>
                <w:caps/>
                <w:color w:val="000000"/>
                <w:sz w:val="23"/>
                <w:szCs w:val="23"/>
              </w:rPr>
              <w:t>QUESTIONS/PURPOSES:</w:t>
            </w:r>
          </w:p>
          <w:p w14:paraId="44997030" w14:textId="77777777" w:rsidR="006D522A" w:rsidRPr="006D522A" w:rsidRDefault="006D522A" w:rsidP="006D522A">
            <w:pPr>
              <w:pStyle w:val="NormalWeb"/>
              <w:shd w:val="clear" w:color="auto" w:fill="FFFFFF"/>
              <w:spacing w:before="0" w:beforeAutospacing="0" w:after="120" w:afterAutospacing="0"/>
              <w:rPr>
                <w:rFonts w:ascii="Calibri" w:eastAsiaTheme="minorEastAsia" w:hAnsi="Calibri" w:cs="Arial"/>
                <w:color w:val="000000"/>
                <w:sz w:val="23"/>
                <w:szCs w:val="23"/>
              </w:rPr>
            </w:pPr>
            <w:r w:rsidRPr="006D522A">
              <w:rPr>
                <w:rFonts w:ascii="Calibri" w:hAnsi="Calibri" w:cs="Arial"/>
                <w:color w:val="000000"/>
                <w:sz w:val="23"/>
                <w:szCs w:val="23"/>
              </w:rPr>
              <w:t>The purpose of this study is to review the literature to determine the (1) indications for drug holiday, (2) the duration of drug holiday, (3) the evaluation during drug holiday, and (4) the proper </w:t>
            </w:r>
            <w:r w:rsidRPr="006D522A">
              <w:rPr>
                <w:rStyle w:val="highlight"/>
                <w:rFonts w:ascii="Calibri" w:hAnsi="Calibri" w:cs="Arial"/>
                <w:color w:val="000000"/>
                <w:sz w:val="23"/>
                <w:szCs w:val="23"/>
              </w:rPr>
              <w:t>treatment</w:t>
            </w:r>
            <w:r w:rsidRPr="006D522A">
              <w:rPr>
                <w:rFonts w:ascii="Calibri" w:hAnsi="Calibri" w:cs="Arial"/>
                <w:color w:val="000000"/>
                <w:sz w:val="23"/>
                <w:szCs w:val="23"/>
              </w:rPr>
              <w:t> and maintenance after drug holiday.</w:t>
            </w:r>
          </w:p>
          <w:p w14:paraId="4D71B548" w14:textId="77777777" w:rsidR="006D522A" w:rsidRPr="006D522A" w:rsidRDefault="006D522A" w:rsidP="006D522A">
            <w:pPr>
              <w:pStyle w:val="Heading4"/>
              <w:shd w:val="clear" w:color="auto" w:fill="FFFFFF"/>
              <w:spacing w:before="0" w:beforeAutospacing="0" w:after="0" w:afterAutospacing="0"/>
              <w:ind w:right="60"/>
              <w:rPr>
                <w:rFonts w:ascii="Calibri" w:eastAsia="Times New Roman" w:hAnsi="Calibri" w:cs="Arial"/>
                <w:caps/>
                <w:color w:val="000000"/>
                <w:sz w:val="23"/>
                <w:szCs w:val="23"/>
              </w:rPr>
            </w:pPr>
            <w:r w:rsidRPr="006D522A">
              <w:rPr>
                <w:rFonts w:ascii="Calibri" w:eastAsia="Times New Roman" w:hAnsi="Calibri" w:cs="Arial"/>
                <w:caps/>
                <w:color w:val="000000"/>
                <w:sz w:val="23"/>
                <w:szCs w:val="23"/>
              </w:rPr>
              <w:t>METHODS:</w:t>
            </w:r>
          </w:p>
          <w:p w14:paraId="1E446ED0" w14:textId="77777777" w:rsidR="006D522A" w:rsidRPr="006D522A" w:rsidRDefault="006D522A" w:rsidP="006D522A">
            <w:pPr>
              <w:pStyle w:val="NormalWeb"/>
              <w:shd w:val="clear" w:color="auto" w:fill="FFFFFF"/>
              <w:spacing w:before="0" w:beforeAutospacing="0" w:after="120" w:afterAutospacing="0"/>
              <w:rPr>
                <w:rFonts w:ascii="Calibri" w:eastAsiaTheme="minorEastAsia" w:hAnsi="Calibri" w:cs="Arial"/>
                <w:color w:val="000000"/>
                <w:sz w:val="23"/>
                <w:szCs w:val="23"/>
              </w:rPr>
            </w:pPr>
            <w:r w:rsidRPr="006D522A">
              <w:rPr>
                <w:rFonts w:ascii="Calibri" w:hAnsi="Calibri" w:cs="Arial"/>
                <w:color w:val="000000"/>
                <w:sz w:val="23"/>
                <w:szCs w:val="23"/>
              </w:rPr>
              <w:t>A review of two electronic databases (PubMed/MEDLINE and EMBASE) was conducted using the term "(Drug holiday)," in January 29, 2015. Inclusion criteria were as follows: (1) </w:t>
            </w:r>
            <w:r w:rsidRPr="006D522A">
              <w:rPr>
                <w:rStyle w:val="highlight"/>
                <w:rFonts w:ascii="Calibri" w:hAnsi="Calibri" w:cs="Arial"/>
                <w:color w:val="000000"/>
                <w:sz w:val="23"/>
                <w:szCs w:val="23"/>
              </w:rPr>
              <w:t>clinical</w:t>
            </w:r>
            <w:r w:rsidRPr="006D522A">
              <w:rPr>
                <w:rFonts w:ascii="Calibri" w:hAnsi="Calibri" w:cs="Arial"/>
                <w:color w:val="000000"/>
                <w:sz w:val="23"/>
                <w:szCs w:val="23"/>
              </w:rPr>
              <w:t> trials and case control, (2) human studies, (3) published in a peer-review journal, and (4) written in English. Exclusion criteria were as follows: (1) case reports, (2) case series, and (3) in vitro studies.</w:t>
            </w:r>
          </w:p>
          <w:p w14:paraId="425BEB5E" w14:textId="77777777" w:rsidR="006D522A" w:rsidRPr="006D522A" w:rsidRDefault="006D522A" w:rsidP="006D522A">
            <w:pPr>
              <w:pStyle w:val="Heading4"/>
              <w:shd w:val="clear" w:color="auto" w:fill="FFFFFF"/>
              <w:spacing w:before="0" w:beforeAutospacing="0" w:after="0" w:afterAutospacing="0"/>
              <w:ind w:right="60"/>
              <w:rPr>
                <w:rFonts w:ascii="Calibri" w:eastAsia="Times New Roman" w:hAnsi="Calibri" w:cs="Arial"/>
                <w:caps/>
                <w:color w:val="000000"/>
                <w:sz w:val="23"/>
                <w:szCs w:val="23"/>
              </w:rPr>
            </w:pPr>
            <w:r w:rsidRPr="006D522A">
              <w:rPr>
                <w:rFonts w:ascii="Calibri" w:eastAsia="Times New Roman" w:hAnsi="Calibri" w:cs="Arial"/>
                <w:caps/>
                <w:color w:val="000000"/>
                <w:sz w:val="23"/>
                <w:szCs w:val="23"/>
              </w:rPr>
              <w:t>RESULTS:</w:t>
            </w:r>
          </w:p>
          <w:p w14:paraId="5B614BC4" w14:textId="77777777" w:rsidR="006D522A" w:rsidRPr="006D522A" w:rsidRDefault="006D522A" w:rsidP="006D522A">
            <w:pPr>
              <w:pStyle w:val="NormalWeb"/>
              <w:shd w:val="clear" w:color="auto" w:fill="FFFFFF"/>
              <w:spacing w:before="0" w:beforeAutospacing="0" w:after="120" w:afterAutospacing="0"/>
              <w:rPr>
                <w:rFonts w:ascii="Calibri" w:eastAsiaTheme="minorEastAsia" w:hAnsi="Calibri" w:cs="Arial"/>
                <w:color w:val="000000"/>
                <w:sz w:val="23"/>
                <w:szCs w:val="23"/>
              </w:rPr>
            </w:pPr>
            <w:r w:rsidRPr="006D522A">
              <w:rPr>
                <w:rFonts w:ascii="Calibri" w:hAnsi="Calibri" w:cs="Arial"/>
                <w:color w:val="000000"/>
                <w:sz w:val="23"/>
                <w:szCs w:val="23"/>
              </w:rPr>
              <w:t>The literature supports a therapeutic pause after 3-5 years of bisphosphonate </w:t>
            </w:r>
            <w:r w:rsidRPr="006D522A">
              <w:rPr>
                <w:rStyle w:val="highlight"/>
                <w:rFonts w:ascii="Calibri" w:hAnsi="Calibri" w:cs="Arial"/>
                <w:color w:val="000000"/>
                <w:sz w:val="23"/>
                <w:szCs w:val="23"/>
              </w:rPr>
              <w:t>treatment</w:t>
            </w:r>
            <w:r w:rsidRPr="006D522A">
              <w:rPr>
                <w:rFonts w:ascii="Calibri" w:hAnsi="Calibri" w:cs="Arial"/>
                <w:color w:val="000000"/>
                <w:sz w:val="23"/>
                <w:szCs w:val="23"/>
              </w:rPr>
              <w:t> in patients with minor bone deficiencies and no recent fragility fracture (low risk) and in patients with moderate bone deficiencies and/or recent fragility fracture (moderate risk). In these patients, a bone health reevaluation is recommended every 1-3 </w:t>
            </w:r>
            <w:proofErr w:type="gramStart"/>
            <w:r w:rsidRPr="006D522A">
              <w:rPr>
                <w:rFonts w:ascii="Calibri" w:hAnsi="Calibri" w:cs="Arial"/>
                <w:color w:val="000000"/>
                <w:sz w:val="23"/>
                <w:szCs w:val="23"/>
              </w:rPr>
              <w:t>years</w:t>
            </w:r>
            <w:proofErr w:type="gramEnd"/>
            <w:r w:rsidRPr="006D522A">
              <w:rPr>
                <w:rFonts w:ascii="Calibri" w:hAnsi="Calibri" w:cs="Arial"/>
                <w:color w:val="000000"/>
                <w:sz w:val="23"/>
                <w:szCs w:val="23"/>
              </w:rPr>
              <w:t>. Patients with high fracture risk should be maintained on bisphosphonate therapy without drug holiday.</w:t>
            </w:r>
          </w:p>
          <w:p w14:paraId="3EA47725" w14:textId="77777777" w:rsidR="006D522A" w:rsidRPr="006D522A" w:rsidRDefault="006D522A" w:rsidP="006D522A">
            <w:pPr>
              <w:pStyle w:val="Heading4"/>
              <w:shd w:val="clear" w:color="auto" w:fill="FFFFFF"/>
              <w:spacing w:before="0" w:beforeAutospacing="0" w:after="0" w:afterAutospacing="0"/>
              <w:ind w:right="60"/>
              <w:rPr>
                <w:rFonts w:ascii="Calibri" w:eastAsia="Times New Roman" w:hAnsi="Calibri" w:cs="Arial"/>
                <w:caps/>
                <w:color w:val="000000"/>
                <w:sz w:val="23"/>
                <w:szCs w:val="23"/>
              </w:rPr>
            </w:pPr>
            <w:r w:rsidRPr="006D522A">
              <w:rPr>
                <w:rFonts w:ascii="Calibri" w:eastAsia="Times New Roman" w:hAnsi="Calibri" w:cs="Arial"/>
                <w:caps/>
                <w:color w:val="000000"/>
                <w:sz w:val="23"/>
                <w:szCs w:val="23"/>
              </w:rPr>
              <w:t>CONCLUSION:</w:t>
            </w:r>
          </w:p>
          <w:p w14:paraId="77B13F2E" w14:textId="0D7EF5D3" w:rsidR="006D522A" w:rsidRPr="006D522A" w:rsidRDefault="006D522A" w:rsidP="006D522A">
            <w:pPr>
              <w:pStyle w:val="NormalWeb"/>
              <w:shd w:val="clear" w:color="auto" w:fill="FFFFFF"/>
              <w:spacing w:before="0" w:beforeAutospacing="0" w:after="120" w:afterAutospacing="0"/>
              <w:rPr>
                <w:rFonts w:ascii="Calibri" w:eastAsiaTheme="minorEastAsia" w:hAnsi="Calibri" w:cs="Arial"/>
                <w:color w:val="000000"/>
                <w:sz w:val="23"/>
                <w:szCs w:val="23"/>
              </w:rPr>
            </w:pPr>
            <w:r w:rsidRPr="006D522A">
              <w:rPr>
                <w:rFonts w:ascii="Calibri" w:hAnsi="Calibri" w:cs="Arial"/>
                <w:color w:val="000000"/>
                <w:sz w:val="23"/>
                <w:szCs w:val="23"/>
              </w:rPr>
              <w:t>The duration and length of drug holiday should be individualized for each patient. Evaluation should be based on serial bone mass measurements, bone turnover rates, and fracture history evaluation. If after drug therapy, assessments show an increased risk of fracture, the patient may benefit from initiating another </w:t>
            </w:r>
            <w:r w:rsidRPr="006D522A">
              <w:rPr>
                <w:rStyle w:val="highlight"/>
                <w:rFonts w:ascii="Calibri" w:hAnsi="Calibri" w:cs="Arial"/>
                <w:color w:val="000000"/>
                <w:sz w:val="23"/>
                <w:szCs w:val="23"/>
              </w:rPr>
              <w:t>treatment</w:t>
            </w:r>
            <w:r w:rsidRPr="006D522A">
              <w:rPr>
                <w:rFonts w:ascii="Calibri" w:hAnsi="Calibri" w:cs="Arial"/>
                <w:color w:val="000000"/>
                <w:sz w:val="23"/>
                <w:szCs w:val="23"/>
              </w:rPr>
              <w:t xml:space="preserve">. </w:t>
            </w:r>
            <w:proofErr w:type="spellStart"/>
            <w:r w:rsidRPr="006D522A">
              <w:rPr>
                <w:rFonts w:ascii="Calibri" w:hAnsi="Calibri" w:cs="Arial"/>
                <w:color w:val="000000"/>
                <w:sz w:val="23"/>
                <w:szCs w:val="23"/>
              </w:rPr>
              <w:t>Raloxifene</w:t>
            </w:r>
            <w:proofErr w:type="spellEnd"/>
            <w:r w:rsidRPr="006D522A">
              <w:rPr>
                <w:rFonts w:ascii="Calibri" w:hAnsi="Calibri" w:cs="Arial"/>
                <w:color w:val="000000"/>
                <w:sz w:val="23"/>
                <w:szCs w:val="23"/>
              </w:rPr>
              <w:t xml:space="preserve">, </w:t>
            </w:r>
            <w:proofErr w:type="spellStart"/>
            <w:r w:rsidRPr="006D522A">
              <w:rPr>
                <w:rFonts w:ascii="Calibri" w:hAnsi="Calibri" w:cs="Arial"/>
                <w:color w:val="000000"/>
                <w:sz w:val="23"/>
                <w:szCs w:val="23"/>
              </w:rPr>
              <w:t>teriparatide</w:t>
            </w:r>
            <w:proofErr w:type="spellEnd"/>
            <w:r w:rsidRPr="006D522A">
              <w:rPr>
                <w:rFonts w:ascii="Calibri" w:hAnsi="Calibri" w:cs="Arial"/>
                <w:color w:val="000000"/>
                <w:sz w:val="23"/>
                <w:szCs w:val="23"/>
              </w:rPr>
              <w:t xml:space="preserve">, or </w:t>
            </w:r>
            <w:proofErr w:type="spellStart"/>
            <w:r w:rsidRPr="006D522A">
              <w:rPr>
                <w:rFonts w:ascii="Calibri" w:hAnsi="Calibri" w:cs="Arial"/>
                <w:color w:val="000000"/>
                <w:sz w:val="23"/>
                <w:szCs w:val="23"/>
              </w:rPr>
              <w:t>denosumab</w:t>
            </w:r>
            <w:proofErr w:type="spellEnd"/>
            <w:r w:rsidRPr="006D522A">
              <w:rPr>
                <w:rFonts w:ascii="Calibri" w:hAnsi="Calibri" w:cs="Arial"/>
                <w:color w:val="000000"/>
                <w:sz w:val="23"/>
                <w:szCs w:val="23"/>
              </w:rPr>
              <w:t xml:space="preserve"> are available options.</w:t>
            </w:r>
          </w:p>
        </w:tc>
      </w:tr>
      <w:tr w:rsidR="006D522A" w:rsidRPr="0095691D" w14:paraId="00A7F6FB" w14:textId="77777777" w:rsidTr="006D522A">
        <w:tc>
          <w:tcPr>
            <w:tcW w:w="1278" w:type="dxa"/>
            <w:tcBorders>
              <w:top w:val="single" w:sz="4" w:space="0" w:color="000000"/>
              <w:left w:val="single" w:sz="4" w:space="0" w:color="000000"/>
              <w:bottom w:val="single" w:sz="4" w:space="0" w:color="000000"/>
              <w:right w:val="single" w:sz="4" w:space="0" w:color="000000"/>
            </w:tcBorders>
          </w:tcPr>
          <w:sdt>
            <w:sdtPr>
              <w:rPr>
                <w:rFonts w:ascii="Calibri" w:hAnsi="Calibri"/>
                <w:sz w:val="23"/>
                <w:szCs w:val="23"/>
              </w:rPr>
              <w:tag w:val="goog_rdk_109"/>
              <w:id w:val="881675587"/>
            </w:sdtPr>
            <w:sdtEndPr/>
            <w:sdtContent>
              <w:p w14:paraId="3B98F1A3" w14:textId="77777777" w:rsidR="006D522A" w:rsidRPr="006D522A" w:rsidRDefault="006D522A" w:rsidP="00752FB1">
                <w:pPr>
                  <w:rPr>
                    <w:rFonts w:ascii="Calibri" w:hAnsi="Calibri"/>
                    <w:sz w:val="23"/>
                    <w:szCs w:val="23"/>
                  </w:rPr>
                </w:pPr>
                <w:r w:rsidRPr="00572A16">
                  <w:rPr>
                    <w:rFonts w:ascii="Calibri" w:hAnsi="Calibri"/>
                    <w:b/>
                    <w:sz w:val="23"/>
                    <w:szCs w:val="23"/>
                  </w:rPr>
                  <w:t>PDF Link</w:t>
                </w:r>
              </w:p>
            </w:sdtContent>
          </w:sdt>
        </w:tc>
        <w:tc>
          <w:tcPr>
            <w:tcW w:w="8298" w:type="dxa"/>
            <w:tcBorders>
              <w:top w:val="single" w:sz="4" w:space="0" w:color="000000"/>
              <w:left w:val="single" w:sz="4" w:space="0" w:color="000000"/>
              <w:bottom w:val="single" w:sz="4" w:space="0" w:color="000000"/>
              <w:right w:val="single" w:sz="4" w:space="0" w:color="000000"/>
            </w:tcBorders>
          </w:tcPr>
          <w:sdt>
            <w:sdtPr>
              <w:rPr>
                <w:rFonts w:ascii="Calibri" w:hAnsi="Calibri"/>
                <w:sz w:val="23"/>
                <w:szCs w:val="23"/>
              </w:rPr>
              <w:tag w:val="goog_rdk_110"/>
              <w:id w:val="1661892945"/>
            </w:sdtPr>
            <w:sdtEndPr/>
            <w:sdtContent>
              <w:p w14:paraId="757ABCC0" w14:textId="3BCA9321" w:rsidR="006D522A" w:rsidRPr="0095691D" w:rsidRDefault="00572A16" w:rsidP="006D522A">
                <w:pPr>
                  <w:pStyle w:val="Title"/>
                  <w:shd w:val="clear" w:color="auto" w:fill="FFFFFF"/>
                  <w:rPr>
                    <w:rFonts w:ascii="Calibri" w:hAnsi="Calibri"/>
                    <w:sz w:val="23"/>
                    <w:szCs w:val="23"/>
                  </w:rPr>
                </w:pPr>
                <w:r>
                  <w:rPr>
                    <w:rFonts w:ascii="Calibri" w:hAnsi="Calibri"/>
                    <w:sz w:val="23"/>
                    <w:szCs w:val="23"/>
                  </w:rPr>
                  <w:t>Article 5 - Villa</w:t>
                </w:r>
              </w:p>
            </w:sdtContent>
          </w:sdt>
        </w:tc>
      </w:tr>
    </w:tbl>
    <w:p w14:paraId="33DB4F52" w14:textId="77777777" w:rsidR="001154CE" w:rsidRDefault="001154CE">
      <w:pPr>
        <w:rPr>
          <w:rFonts w:ascii="Calibri" w:hAnsi="Calibri"/>
          <w:sz w:val="23"/>
          <w:szCs w:val="23"/>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8298"/>
      </w:tblGrid>
      <w:tr w:rsidR="00572A16" w:rsidRPr="0095691D" w14:paraId="5CE32255" w14:textId="77777777" w:rsidTr="00752FB1">
        <w:tc>
          <w:tcPr>
            <w:tcW w:w="1278" w:type="dxa"/>
          </w:tcPr>
          <w:sdt>
            <w:sdtPr>
              <w:rPr>
                <w:rFonts w:ascii="Calibri" w:hAnsi="Calibri"/>
                <w:sz w:val="23"/>
                <w:szCs w:val="23"/>
              </w:rPr>
              <w:tag w:val="goog_rdk_85"/>
              <w:id w:val="-17007606"/>
            </w:sdtPr>
            <w:sdtEndPr/>
            <w:sdtContent>
              <w:p w14:paraId="252B7D40" w14:textId="77777777" w:rsidR="00572A16" w:rsidRPr="0095691D" w:rsidRDefault="00572A16" w:rsidP="00752FB1">
                <w:pPr>
                  <w:rPr>
                    <w:rFonts w:ascii="Calibri" w:hAnsi="Calibri"/>
                    <w:b/>
                    <w:sz w:val="23"/>
                    <w:szCs w:val="23"/>
                  </w:rPr>
                </w:pPr>
                <w:r w:rsidRPr="0095691D">
                  <w:rPr>
                    <w:rFonts w:ascii="Calibri" w:hAnsi="Calibri"/>
                    <w:b/>
                    <w:sz w:val="23"/>
                    <w:szCs w:val="23"/>
                  </w:rPr>
                  <w:t>Citation</w:t>
                </w:r>
              </w:p>
            </w:sdtContent>
          </w:sdt>
        </w:tc>
        <w:tc>
          <w:tcPr>
            <w:tcW w:w="8298" w:type="dxa"/>
          </w:tcPr>
          <w:p w14:paraId="1070D599" w14:textId="77777777" w:rsidR="00572A16" w:rsidRPr="001154CE" w:rsidRDefault="00572A16" w:rsidP="00752FB1">
            <w:pPr>
              <w:pStyle w:val="Title"/>
              <w:shd w:val="clear" w:color="auto" w:fill="FFFFFF"/>
              <w:spacing w:before="0" w:beforeAutospacing="0" w:after="0" w:afterAutospacing="0"/>
              <w:rPr>
                <w:rFonts w:ascii="Calibri" w:hAnsi="Calibri" w:cs="Arial"/>
                <w:color w:val="000000"/>
                <w:sz w:val="23"/>
                <w:szCs w:val="23"/>
              </w:rPr>
            </w:pPr>
            <w:r w:rsidRPr="001154CE">
              <w:rPr>
                <w:rFonts w:ascii="Calibri" w:hAnsi="Calibri"/>
                <w:sz w:val="23"/>
                <w:szCs w:val="23"/>
              </w:rPr>
              <w:t>6.</w:t>
            </w:r>
            <w:hyperlink r:id="rId11" w:history="1">
              <w:r w:rsidRPr="001154CE">
                <w:rPr>
                  <w:rStyle w:val="Hyperlink"/>
                  <w:rFonts w:ascii="Calibri" w:hAnsi="Calibri" w:cs="Arial"/>
                  <w:b/>
                  <w:bCs/>
                  <w:color w:val="642A8F"/>
                  <w:sz w:val="23"/>
                  <w:szCs w:val="23"/>
                </w:rPr>
                <w:t>AMERICAN</w:t>
              </w:r>
              <w:r w:rsidRPr="001154CE">
                <w:rPr>
                  <w:rStyle w:val="Hyperlink"/>
                  <w:rFonts w:ascii="Calibri" w:hAnsi="Calibri" w:cs="Arial"/>
                  <w:color w:val="642A8F"/>
                  <w:sz w:val="23"/>
                  <w:szCs w:val="23"/>
                </w:rPr>
                <w:t> </w:t>
              </w:r>
              <w:r w:rsidRPr="001154CE">
                <w:rPr>
                  <w:rStyle w:val="Hyperlink"/>
                  <w:rFonts w:ascii="Calibri" w:hAnsi="Calibri" w:cs="Arial"/>
                  <w:b/>
                  <w:bCs/>
                  <w:color w:val="642A8F"/>
                  <w:sz w:val="23"/>
                  <w:szCs w:val="23"/>
                </w:rPr>
                <w:t>ASSOCIATION</w:t>
              </w:r>
              <w:r w:rsidRPr="001154CE">
                <w:rPr>
                  <w:rStyle w:val="Hyperlink"/>
                  <w:rFonts w:ascii="Calibri" w:hAnsi="Calibri" w:cs="Arial"/>
                  <w:color w:val="642A8F"/>
                  <w:sz w:val="23"/>
                  <w:szCs w:val="23"/>
                </w:rPr>
                <w:t> OF </w:t>
              </w:r>
              <w:r w:rsidRPr="001154CE">
                <w:rPr>
                  <w:rStyle w:val="Hyperlink"/>
                  <w:rFonts w:ascii="Calibri" w:hAnsi="Calibri" w:cs="Arial"/>
                  <w:b/>
                  <w:bCs/>
                  <w:color w:val="642A8F"/>
                  <w:sz w:val="23"/>
                  <w:szCs w:val="23"/>
                </w:rPr>
                <w:t>CLINICAL</w:t>
              </w:r>
              <w:r w:rsidRPr="001154CE">
                <w:rPr>
                  <w:rStyle w:val="Hyperlink"/>
                  <w:rFonts w:ascii="Calibri" w:hAnsi="Calibri" w:cs="Arial"/>
                  <w:color w:val="642A8F"/>
                  <w:sz w:val="23"/>
                  <w:szCs w:val="23"/>
                </w:rPr>
                <w:t> </w:t>
              </w:r>
              <w:r w:rsidRPr="001154CE">
                <w:rPr>
                  <w:rStyle w:val="Hyperlink"/>
                  <w:rFonts w:ascii="Calibri" w:hAnsi="Calibri" w:cs="Arial"/>
                  <w:b/>
                  <w:bCs/>
                  <w:color w:val="642A8F"/>
                  <w:sz w:val="23"/>
                  <w:szCs w:val="23"/>
                </w:rPr>
                <w:t>ENDOCRINOLOGISTS</w:t>
              </w:r>
              <w:r w:rsidRPr="001154CE">
                <w:rPr>
                  <w:rStyle w:val="Hyperlink"/>
                  <w:rFonts w:ascii="Calibri" w:hAnsi="Calibri" w:cs="Arial"/>
                  <w:color w:val="642A8F"/>
                  <w:sz w:val="23"/>
                  <w:szCs w:val="23"/>
                </w:rPr>
                <w:t> AND </w:t>
              </w:r>
              <w:proofErr w:type="gramStart"/>
              <w:r w:rsidRPr="001154CE">
                <w:rPr>
                  <w:rStyle w:val="Hyperlink"/>
                  <w:rFonts w:ascii="Calibri" w:hAnsi="Calibri" w:cs="Arial"/>
                  <w:b/>
                  <w:bCs/>
                  <w:color w:val="642A8F"/>
                  <w:sz w:val="23"/>
                  <w:szCs w:val="23"/>
                </w:rPr>
                <w:t>AMERICAN</w:t>
              </w:r>
              <w:r w:rsidRPr="001154CE">
                <w:rPr>
                  <w:rStyle w:val="Hyperlink"/>
                  <w:rFonts w:ascii="Calibri" w:hAnsi="Calibri" w:cs="Arial"/>
                  <w:color w:val="642A8F"/>
                  <w:sz w:val="23"/>
                  <w:szCs w:val="23"/>
                </w:rPr>
                <w:t> </w:t>
              </w:r>
              <w:r w:rsidRPr="001154CE">
                <w:rPr>
                  <w:rStyle w:val="Hyperlink"/>
                  <w:rFonts w:ascii="Calibri" w:hAnsi="Calibri" w:cs="Arial"/>
                  <w:b/>
                  <w:bCs/>
                  <w:color w:val="642A8F"/>
                  <w:sz w:val="23"/>
                  <w:szCs w:val="23"/>
                </w:rPr>
                <w:t>COLLEGE</w:t>
              </w:r>
              <w:proofErr w:type="gramEnd"/>
              <w:r w:rsidRPr="001154CE">
                <w:rPr>
                  <w:rStyle w:val="Hyperlink"/>
                  <w:rFonts w:ascii="Calibri" w:hAnsi="Calibri" w:cs="Arial"/>
                  <w:color w:val="642A8F"/>
                  <w:sz w:val="23"/>
                  <w:szCs w:val="23"/>
                </w:rPr>
                <w:t> OF </w:t>
              </w:r>
              <w:r w:rsidRPr="001154CE">
                <w:rPr>
                  <w:rStyle w:val="Hyperlink"/>
                  <w:rFonts w:ascii="Calibri" w:hAnsi="Calibri" w:cs="Arial"/>
                  <w:b/>
                  <w:bCs/>
                  <w:color w:val="642A8F"/>
                  <w:sz w:val="23"/>
                  <w:szCs w:val="23"/>
                </w:rPr>
                <w:t>ENDOCRINOLOGY</w:t>
              </w:r>
              <w:r w:rsidRPr="001154CE">
                <w:rPr>
                  <w:rStyle w:val="Hyperlink"/>
                  <w:rFonts w:ascii="Calibri" w:hAnsi="Calibri" w:cs="Arial"/>
                  <w:color w:val="642A8F"/>
                  <w:sz w:val="23"/>
                  <w:szCs w:val="23"/>
                </w:rPr>
                <w:t> </w:t>
              </w:r>
              <w:r w:rsidRPr="001154CE">
                <w:rPr>
                  <w:rStyle w:val="Hyperlink"/>
                  <w:rFonts w:ascii="Calibri" w:hAnsi="Calibri" w:cs="Arial"/>
                  <w:b/>
                  <w:bCs/>
                  <w:color w:val="642A8F"/>
                  <w:sz w:val="23"/>
                  <w:szCs w:val="23"/>
                </w:rPr>
                <w:t>CLINICAL</w:t>
              </w:r>
              <w:r w:rsidRPr="001154CE">
                <w:rPr>
                  <w:rStyle w:val="Hyperlink"/>
                  <w:rFonts w:ascii="Calibri" w:hAnsi="Calibri" w:cs="Arial"/>
                  <w:color w:val="642A8F"/>
                  <w:sz w:val="23"/>
                  <w:szCs w:val="23"/>
                </w:rPr>
                <w:t> </w:t>
              </w:r>
              <w:r w:rsidRPr="001154CE">
                <w:rPr>
                  <w:rStyle w:val="Hyperlink"/>
                  <w:rFonts w:ascii="Calibri" w:hAnsi="Calibri" w:cs="Arial"/>
                  <w:b/>
                  <w:bCs/>
                  <w:color w:val="642A8F"/>
                  <w:sz w:val="23"/>
                  <w:szCs w:val="23"/>
                </w:rPr>
                <w:t>PRACTICE</w:t>
              </w:r>
              <w:r w:rsidRPr="001154CE">
                <w:rPr>
                  <w:rStyle w:val="Hyperlink"/>
                  <w:rFonts w:ascii="Calibri" w:hAnsi="Calibri" w:cs="Arial"/>
                  <w:color w:val="642A8F"/>
                  <w:sz w:val="23"/>
                  <w:szCs w:val="23"/>
                </w:rPr>
                <w:t> </w:t>
              </w:r>
              <w:r w:rsidRPr="001154CE">
                <w:rPr>
                  <w:rStyle w:val="Hyperlink"/>
                  <w:rFonts w:ascii="Calibri" w:hAnsi="Calibri" w:cs="Arial"/>
                  <w:b/>
                  <w:bCs/>
                  <w:color w:val="642A8F"/>
                  <w:sz w:val="23"/>
                  <w:szCs w:val="23"/>
                </w:rPr>
                <w:t>GUIDELINES</w:t>
              </w:r>
              <w:r w:rsidRPr="001154CE">
                <w:rPr>
                  <w:rStyle w:val="Hyperlink"/>
                  <w:rFonts w:ascii="Calibri" w:hAnsi="Calibri" w:cs="Arial"/>
                  <w:color w:val="642A8F"/>
                  <w:sz w:val="23"/>
                  <w:szCs w:val="23"/>
                </w:rPr>
                <w:t> FOR THE </w:t>
              </w:r>
              <w:r w:rsidRPr="001154CE">
                <w:rPr>
                  <w:rStyle w:val="Hyperlink"/>
                  <w:rFonts w:ascii="Calibri" w:hAnsi="Calibri" w:cs="Arial"/>
                  <w:b/>
                  <w:bCs/>
                  <w:color w:val="642A8F"/>
                  <w:sz w:val="23"/>
                  <w:szCs w:val="23"/>
                </w:rPr>
                <w:t>DIAGNOSIS</w:t>
              </w:r>
              <w:r w:rsidRPr="001154CE">
                <w:rPr>
                  <w:rStyle w:val="Hyperlink"/>
                  <w:rFonts w:ascii="Calibri" w:hAnsi="Calibri" w:cs="Arial"/>
                  <w:color w:val="642A8F"/>
                  <w:sz w:val="23"/>
                  <w:szCs w:val="23"/>
                </w:rPr>
                <w:t> AND </w:t>
              </w:r>
              <w:r w:rsidRPr="001154CE">
                <w:rPr>
                  <w:rStyle w:val="Hyperlink"/>
                  <w:rFonts w:ascii="Calibri" w:hAnsi="Calibri" w:cs="Arial"/>
                  <w:b/>
                  <w:bCs/>
                  <w:color w:val="642A8F"/>
                  <w:sz w:val="23"/>
                  <w:szCs w:val="23"/>
                </w:rPr>
                <w:t>TREATMENT</w:t>
              </w:r>
              <w:r w:rsidRPr="001154CE">
                <w:rPr>
                  <w:rStyle w:val="Hyperlink"/>
                  <w:rFonts w:ascii="Calibri" w:hAnsi="Calibri" w:cs="Arial"/>
                  <w:color w:val="642A8F"/>
                  <w:sz w:val="23"/>
                  <w:szCs w:val="23"/>
                </w:rPr>
                <w:t> OF </w:t>
              </w:r>
              <w:r w:rsidRPr="001154CE">
                <w:rPr>
                  <w:rStyle w:val="Hyperlink"/>
                  <w:rFonts w:ascii="Calibri" w:hAnsi="Calibri" w:cs="Arial"/>
                  <w:b/>
                  <w:bCs/>
                  <w:color w:val="642A8F"/>
                  <w:sz w:val="23"/>
                  <w:szCs w:val="23"/>
                </w:rPr>
                <w:t>POSTMENOPAUSAL</w:t>
              </w:r>
              <w:r w:rsidRPr="001154CE">
                <w:rPr>
                  <w:rStyle w:val="Hyperlink"/>
                  <w:rFonts w:ascii="Calibri" w:hAnsi="Calibri" w:cs="Arial"/>
                  <w:color w:val="642A8F"/>
                  <w:sz w:val="23"/>
                  <w:szCs w:val="23"/>
                </w:rPr>
                <w:t> </w:t>
              </w:r>
              <w:r w:rsidRPr="001154CE">
                <w:rPr>
                  <w:rStyle w:val="Hyperlink"/>
                  <w:rFonts w:ascii="Calibri" w:hAnsi="Calibri" w:cs="Arial"/>
                  <w:b/>
                  <w:bCs/>
                  <w:color w:val="642A8F"/>
                  <w:sz w:val="23"/>
                  <w:szCs w:val="23"/>
                </w:rPr>
                <w:t>OSTEOPOROSIS</w:t>
              </w:r>
              <w:r w:rsidRPr="001154CE">
                <w:rPr>
                  <w:rStyle w:val="Hyperlink"/>
                  <w:rFonts w:ascii="Calibri" w:hAnsi="Calibri" w:cs="Arial"/>
                  <w:color w:val="642A8F"/>
                  <w:sz w:val="23"/>
                  <w:szCs w:val="23"/>
                </w:rPr>
                <w:t> - 2016.</w:t>
              </w:r>
            </w:hyperlink>
          </w:p>
          <w:p w14:paraId="53BEFDC9" w14:textId="77777777" w:rsidR="00572A16" w:rsidRPr="001154CE" w:rsidRDefault="00572A16" w:rsidP="00752FB1">
            <w:pPr>
              <w:pStyle w:val="desc"/>
              <w:shd w:val="clear" w:color="auto" w:fill="FFFFFF"/>
              <w:spacing w:before="0" w:beforeAutospacing="0" w:after="0" w:afterAutospacing="0"/>
              <w:rPr>
                <w:rFonts w:ascii="Calibri" w:hAnsi="Calibri" w:cs="Arial"/>
                <w:color w:val="000000"/>
                <w:sz w:val="23"/>
                <w:szCs w:val="23"/>
              </w:rPr>
            </w:pPr>
            <w:r w:rsidRPr="001154CE">
              <w:rPr>
                <w:rFonts w:ascii="Calibri" w:hAnsi="Calibri" w:cs="Arial"/>
                <w:color w:val="000000"/>
                <w:sz w:val="23"/>
                <w:szCs w:val="23"/>
              </w:rPr>
              <w:t xml:space="preserve">Camacho PM, </w:t>
            </w:r>
            <w:proofErr w:type="spellStart"/>
            <w:r w:rsidRPr="001154CE">
              <w:rPr>
                <w:rFonts w:ascii="Calibri" w:hAnsi="Calibri" w:cs="Arial"/>
                <w:color w:val="000000"/>
                <w:sz w:val="23"/>
                <w:szCs w:val="23"/>
              </w:rPr>
              <w:t>Petak</w:t>
            </w:r>
            <w:proofErr w:type="spellEnd"/>
            <w:r w:rsidRPr="001154CE">
              <w:rPr>
                <w:rFonts w:ascii="Calibri" w:hAnsi="Calibri" w:cs="Arial"/>
                <w:color w:val="000000"/>
                <w:sz w:val="23"/>
                <w:szCs w:val="23"/>
              </w:rPr>
              <w:t xml:space="preserve"> SM, Binkley N, Clarke BL, Harris ST, Hurley DL, </w:t>
            </w:r>
            <w:proofErr w:type="spellStart"/>
            <w:r w:rsidRPr="001154CE">
              <w:rPr>
                <w:rFonts w:ascii="Calibri" w:hAnsi="Calibri" w:cs="Arial"/>
                <w:color w:val="000000"/>
                <w:sz w:val="23"/>
                <w:szCs w:val="23"/>
              </w:rPr>
              <w:t>Kleerekoper</w:t>
            </w:r>
            <w:proofErr w:type="spellEnd"/>
            <w:r w:rsidRPr="001154CE">
              <w:rPr>
                <w:rFonts w:ascii="Calibri" w:hAnsi="Calibri" w:cs="Arial"/>
                <w:color w:val="000000"/>
                <w:sz w:val="23"/>
                <w:szCs w:val="23"/>
              </w:rPr>
              <w:t xml:space="preserve"> M, </w:t>
            </w:r>
            <w:proofErr w:type="spellStart"/>
            <w:r w:rsidRPr="001154CE">
              <w:rPr>
                <w:rFonts w:ascii="Calibri" w:hAnsi="Calibri" w:cs="Arial"/>
                <w:color w:val="000000"/>
                <w:sz w:val="23"/>
                <w:szCs w:val="23"/>
              </w:rPr>
              <w:t>Lewiecki</w:t>
            </w:r>
            <w:proofErr w:type="spellEnd"/>
            <w:r w:rsidRPr="001154CE">
              <w:rPr>
                <w:rFonts w:ascii="Calibri" w:hAnsi="Calibri" w:cs="Arial"/>
                <w:color w:val="000000"/>
                <w:sz w:val="23"/>
                <w:szCs w:val="23"/>
              </w:rPr>
              <w:t xml:space="preserve"> EM, Miller PD, </w:t>
            </w:r>
            <w:proofErr w:type="spellStart"/>
            <w:r w:rsidRPr="001154CE">
              <w:rPr>
                <w:rFonts w:ascii="Calibri" w:hAnsi="Calibri" w:cs="Arial"/>
                <w:color w:val="000000"/>
                <w:sz w:val="23"/>
                <w:szCs w:val="23"/>
              </w:rPr>
              <w:t>Narula</w:t>
            </w:r>
            <w:proofErr w:type="spellEnd"/>
            <w:r w:rsidRPr="001154CE">
              <w:rPr>
                <w:rFonts w:ascii="Calibri" w:hAnsi="Calibri" w:cs="Arial"/>
                <w:color w:val="000000"/>
                <w:sz w:val="23"/>
                <w:szCs w:val="23"/>
              </w:rPr>
              <w:t xml:space="preserve"> HS, </w:t>
            </w:r>
            <w:proofErr w:type="spellStart"/>
            <w:r w:rsidRPr="001154CE">
              <w:rPr>
                <w:rFonts w:ascii="Calibri" w:hAnsi="Calibri" w:cs="Arial"/>
                <w:color w:val="000000"/>
                <w:sz w:val="23"/>
                <w:szCs w:val="23"/>
              </w:rPr>
              <w:t>Pessah</w:t>
            </w:r>
            <w:proofErr w:type="spellEnd"/>
            <w:r w:rsidRPr="001154CE">
              <w:rPr>
                <w:rFonts w:ascii="Calibri" w:hAnsi="Calibri" w:cs="Arial"/>
                <w:color w:val="000000"/>
                <w:sz w:val="23"/>
                <w:szCs w:val="23"/>
              </w:rPr>
              <w:t xml:space="preserve">-Pollack R, </w:t>
            </w:r>
            <w:proofErr w:type="spellStart"/>
            <w:r w:rsidRPr="001154CE">
              <w:rPr>
                <w:rFonts w:ascii="Calibri" w:hAnsi="Calibri" w:cs="Arial"/>
                <w:color w:val="000000"/>
                <w:sz w:val="23"/>
                <w:szCs w:val="23"/>
              </w:rPr>
              <w:t>Tangpricha</w:t>
            </w:r>
            <w:proofErr w:type="spellEnd"/>
            <w:r w:rsidRPr="001154CE">
              <w:rPr>
                <w:rFonts w:ascii="Calibri" w:hAnsi="Calibri" w:cs="Arial"/>
                <w:color w:val="000000"/>
                <w:sz w:val="23"/>
                <w:szCs w:val="23"/>
              </w:rPr>
              <w:t xml:space="preserve"> V, </w:t>
            </w:r>
            <w:proofErr w:type="spellStart"/>
            <w:r w:rsidRPr="001154CE">
              <w:rPr>
                <w:rFonts w:ascii="Calibri" w:hAnsi="Calibri" w:cs="Arial"/>
                <w:color w:val="000000"/>
                <w:sz w:val="23"/>
                <w:szCs w:val="23"/>
              </w:rPr>
              <w:t>Wimalawansa</w:t>
            </w:r>
            <w:proofErr w:type="spellEnd"/>
            <w:r w:rsidRPr="001154CE">
              <w:rPr>
                <w:rFonts w:ascii="Calibri" w:hAnsi="Calibri" w:cs="Arial"/>
                <w:color w:val="000000"/>
                <w:sz w:val="23"/>
                <w:szCs w:val="23"/>
              </w:rPr>
              <w:t xml:space="preserve"> SJ, Watts NB.</w:t>
            </w:r>
          </w:p>
          <w:p w14:paraId="611AF27E" w14:textId="77777777" w:rsidR="00572A16" w:rsidRPr="001154CE" w:rsidRDefault="00572A16" w:rsidP="00752FB1">
            <w:pPr>
              <w:pStyle w:val="details"/>
              <w:shd w:val="clear" w:color="auto" w:fill="FFFFFF"/>
              <w:spacing w:before="0" w:beforeAutospacing="0" w:after="0" w:afterAutospacing="0"/>
              <w:rPr>
                <w:rFonts w:ascii="Calibri" w:hAnsi="Calibri" w:cs="Arial"/>
                <w:color w:val="000000"/>
                <w:sz w:val="23"/>
                <w:szCs w:val="23"/>
              </w:rPr>
            </w:pPr>
            <w:proofErr w:type="spellStart"/>
            <w:r w:rsidRPr="001154CE">
              <w:rPr>
                <w:rStyle w:val="jrnl"/>
                <w:rFonts w:ascii="Calibri" w:hAnsi="Calibri" w:cs="Arial"/>
                <w:color w:val="000000"/>
                <w:sz w:val="23"/>
                <w:szCs w:val="23"/>
              </w:rPr>
              <w:t>Endocr</w:t>
            </w:r>
            <w:proofErr w:type="spellEnd"/>
            <w:r w:rsidRPr="001154CE">
              <w:rPr>
                <w:rStyle w:val="jrnl"/>
                <w:rFonts w:ascii="Calibri" w:hAnsi="Calibri" w:cs="Arial"/>
                <w:color w:val="000000"/>
                <w:sz w:val="23"/>
                <w:szCs w:val="23"/>
              </w:rPr>
              <w:t xml:space="preserve"> </w:t>
            </w:r>
            <w:proofErr w:type="spellStart"/>
            <w:r w:rsidRPr="001154CE">
              <w:rPr>
                <w:rStyle w:val="jrnl"/>
                <w:rFonts w:ascii="Calibri" w:hAnsi="Calibri" w:cs="Arial"/>
                <w:color w:val="000000"/>
                <w:sz w:val="23"/>
                <w:szCs w:val="23"/>
              </w:rPr>
              <w:t>Pract</w:t>
            </w:r>
            <w:proofErr w:type="spellEnd"/>
            <w:r w:rsidRPr="001154CE">
              <w:rPr>
                <w:rFonts w:ascii="Calibri" w:hAnsi="Calibri" w:cs="Arial"/>
                <w:color w:val="000000"/>
                <w:sz w:val="23"/>
                <w:szCs w:val="23"/>
              </w:rPr>
              <w:t>. 2016 Sep 2</w:t>
            </w:r>
            <w:proofErr w:type="gramStart"/>
            <w:r w:rsidRPr="001154CE">
              <w:rPr>
                <w:rFonts w:ascii="Calibri" w:hAnsi="Calibri" w:cs="Arial"/>
                <w:color w:val="000000"/>
                <w:sz w:val="23"/>
                <w:szCs w:val="23"/>
              </w:rPr>
              <w:t>;22</w:t>
            </w:r>
            <w:proofErr w:type="gramEnd"/>
            <w:r w:rsidRPr="001154CE">
              <w:rPr>
                <w:rFonts w:ascii="Calibri" w:hAnsi="Calibri" w:cs="Arial"/>
                <w:color w:val="000000"/>
                <w:sz w:val="23"/>
                <w:szCs w:val="23"/>
              </w:rPr>
              <w:t>(</w:t>
            </w:r>
            <w:proofErr w:type="spellStart"/>
            <w:r w:rsidRPr="001154CE">
              <w:rPr>
                <w:rFonts w:ascii="Calibri" w:hAnsi="Calibri" w:cs="Arial"/>
                <w:color w:val="000000"/>
                <w:sz w:val="23"/>
                <w:szCs w:val="23"/>
              </w:rPr>
              <w:t>Suppl</w:t>
            </w:r>
            <w:proofErr w:type="spellEnd"/>
            <w:r w:rsidRPr="001154CE">
              <w:rPr>
                <w:rFonts w:ascii="Calibri" w:hAnsi="Calibri" w:cs="Arial"/>
                <w:color w:val="000000"/>
                <w:sz w:val="23"/>
                <w:szCs w:val="23"/>
              </w:rPr>
              <w:t xml:space="preserve"> 4):1-42. </w:t>
            </w:r>
            <w:proofErr w:type="spellStart"/>
            <w:proofErr w:type="gramStart"/>
            <w:r w:rsidRPr="001154CE">
              <w:rPr>
                <w:rFonts w:ascii="Calibri" w:hAnsi="Calibri" w:cs="Arial"/>
                <w:color w:val="000000"/>
                <w:sz w:val="23"/>
                <w:szCs w:val="23"/>
              </w:rPr>
              <w:t>doi</w:t>
            </w:r>
            <w:proofErr w:type="spellEnd"/>
            <w:proofErr w:type="gramEnd"/>
            <w:r w:rsidRPr="001154CE">
              <w:rPr>
                <w:rFonts w:ascii="Calibri" w:hAnsi="Calibri" w:cs="Arial"/>
                <w:color w:val="000000"/>
                <w:sz w:val="23"/>
                <w:szCs w:val="23"/>
              </w:rPr>
              <w:t>: 10.4158/EP161435.GL.</w:t>
            </w:r>
          </w:p>
          <w:p w14:paraId="61D5A9E2" w14:textId="77777777" w:rsidR="00572A16" w:rsidRPr="001154CE" w:rsidRDefault="00572A16" w:rsidP="00752FB1">
            <w:pPr>
              <w:shd w:val="clear" w:color="auto" w:fill="FFFFFF"/>
              <w:spacing w:line="336" w:lineRule="atLeast"/>
              <w:ind w:right="225"/>
              <w:rPr>
                <w:rFonts w:ascii="Calibri" w:eastAsia="Times New Roman" w:hAnsi="Calibri" w:cs="Arial"/>
                <w:color w:val="575757"/>
                <w:sz w:val="23"/>
                <w:szCs w:val="23"/>
              </w:rPr>
            </w:pPr>
            <w:r w:rsidRPr="001154CE">
              <w:rPr>
                <w:rFonts w:ascii="Calibri" w:eastAsia="Times New Roman" w:hAnsi="Calibri" w:cs="Arial"/>
                <w:color w:val="575757"/>
                <w:sz w:val="23"/>
                <w:szCs w:val="23"/>
              </w:rPr>
              <w:t>PMID: 27662240</w:t>
            </w:r>
          </w:p>
        </w:tc>
      </w:tr>
      <w:tr w:rsidR="00572A16" w:rsidRPr="0095691D" w14:paraId="62407905" w14:textId="77777777" w:rsidTr="00752FB1">
        <w:tc>
          <w:tcPr>
            <w:tcW w:w="1278" w:type="dxa"/>
          </w:tcPr>
          <w:sdt>
            <w:sdtPr>
              <w:rPr>
                <w:rFonts w:ascii="Calibri" w:hAnsi="Calibri"/>
                <w:sz w:val="23"/>
                <w:szCs w:val="23"/>
              </w:rPr>
              <w:tag w:val="goog_rdk_90"/>
              <w:id w:val="-206030400"/>
            </w:sdtPr>
            <w:sdtEndPr/>
            <w:sdtContent>
              <w:p w14:paraId="10A911EA" w14:textId="77777777" w:rsidR="00572A16" w:rsidRPr="0095691D" w:rsidRDefault="00572A16" w:rsidP="00752FB1">
                <w:pPr>
                  <w:rPr>
                    <w:rFonts w:ascii="Calibri" w:hAnsi="Calibri"/>
                    <w:b/>
                    <w:sz w:val="23"/>
                    <w:szCs w:val="23"/>
                  </w:rPr>
                </w:pPr>
                <w:r w:rsidRPr="0095691D">
                  <w:rPr>
                    <w:rFonts w:ascii="Calibri" w:hAnsi="Calibri"/>
                    <w:b/>
                    <w:sz w:val="23"/>
                    <w:szCs w:val="23"/>
                  </w:rPr>
                  <w:t>Abstract</w:t>
                </w:r>
              </w:p>
            </w:sdtContent>
          </w:sdt>
        </w:tc>
        <w:tc>
          <w:tcPr>
            <w:tcW w:w="8298" w:type="dxa"/>
          </w:tcPr>
          <w:p w14:paraId="4120FB39" w14:textId="77777777" w:rsidR="00572A16" w:rsidRPr="001154CE" w:rsidRDefault="00572A16" w:rsidP="00752FB1">
            <w:pPr>
              <w:pStyle w:val="Heading3"/>
              <w:shd w:val="clear" w:color="auto" w:fill="FFFFFF"/>
              <w:spacing w:before="0" w:beforeAutospacing="0" w:after="0" w:afterAutospacing="0"/>
              <w:rPr>
                <w:rFonts w:ascii="Calibri" w:eastAsia="Times New Roman" w:hAnsi="Calibri" w:cs="Arial"/>
                <w:color w:val="985735"/>
                <w:sz w:val="23"/>
                <w:szCs w:val="23"/>
              </w:rPr>
            </w:pPr>
            <w:r w:rsidRPr="001154CE">
              <w:rPr>
                <w:rFonts w:ascii="Calibri" w:eastAsia="Times New Roman" w:hAnsi="Calibri" w:cs="Arial"/>
                <w:color w:val="985735"/>
                <w:sz w:val="23"/>
                <w:szCs w:val="23"/>
              </w:rPr>
              <w:t>Abstract</w:t>
            </w:r>
          </w:p>
          <w:p w14:paraId="2952A2E8" w14:textId="77777777" w:rsidR="00572A16" w:rsidRPr="001154CE" w:rsidRDefault="00572A16" w:rsidP="00752FB1">
            <w:pPr>
              <w:pStyle w:val="NormalWeb"/>
              <w:shd w:val="clear" w:color="auto" w:fill="FFFFFF"/>
              <w:spacing w:before="0" w:beforeAutospacing="0" w:after="120" w:afterAutospacing="0"/>
              <w:rPr>
                <w:rFonts w:ascii="Calibri" w:eastAsiaTheme="minorEastAsia" w:hAnsi="Calibri" w:cs="Arial"/>
                <w:color w:val="000000"/>
                <w:sz w:val="23"/>
                <w:szCs w:val="23"/>
              </w:rPr>
            </w:pPr>
            <w:r w:rsidRPr="001154CE">
              <w:rPr>
                <w:rFonts w:ascii="Calibri" w:hAnsi="Calibri" w:cs="Arial"/>
                <w:color w:val="000000"/>
                <w:sz w:val="23"/>
                <w:szCs w:val="23"/>
              </w:rPr>
              <w:t>AACE = </w:t>
            </w:r>
            <w:r w:rsidRPr="001154CE">
              <w:rPr>
                <w:rStyle w:val="highlight"/>
                <w:rFonts w:ascii="Calibri" w:hAnsi="Calibri" w:cs="Arial"/>
                <w:color w:val="000000"/>
                <w:sz w:val="23"/>
                <w:szCs w:val="23"/>
              </w:rPr>
              <w:t>American</w:t>
            </w:r>
            <w:r w:rsidRPr="001154CE">
              <w:rPr>
                <w:rFonts w:ascii="Calibri" w:hAnsi="Calibri" w:cs="Arial"/>
                <w:color w:val="000000"/>
                <w:sz w:val="23"/>
                <w:szCs w:val="23"/>
              </w:rPr>
              <w:t> </w:t>
            </w:r>
            <w:r w:rsidRPr="001154CE">
              <w:rPr>
                <w:rStyle w:val="highlight"/>
                <w:rFonts w:ascii="Calibri" w:hAnsi="Calibri" w:cs="Arial"/>
                <w:color w:val="000000"/>
                <w:sz w:val="23"/>
                <w:szCs w:val="23"/>
              </w:rPr>
              <w:t>Association</w:t>
            </w:r>
            <w:r w:rsidRPr="001154CE">
              <w:rPr>
                <w:rFonts w:ascii="Calibri" w:hAnsi="Calibri" w:cs="Arial"/>
                <w:color w:val="000000"/>
                <w:sz w:val="23"/>
                <w:szCs w:val="23"/>
              </w:rPr>
              <w:t> of </w:t>
            </w:r>
            <w:r w:rsidRPr="001154CE">
              <w:rPr>
                <w:rStyle w:val="highlight"/>
                <w:rFonts w:ascii="Calibri" w:hAnsi="Calibri" w:cs="Arial"/>
                <w:color w:val="000000"/>
                <w:sz w:val="23"/>
                <w:szCs w:val="23"/>
              </w:rPr>
              <w:t>Clinical</w:t>
            </w:r>
            <w:r w:rsidRPr="001154CE">
              <w:rPr>
                <w:rFonts w:ascii="Calibri" w:hAnsi="Calibri" w:cs="Arial"/>
                <w:color w:val="000000"/>
                <w:sz w:val="23"/>
                <w:szCs w:val="23"/>
              </w:rPr>
              <w:t> </w:t>
            </w:r>
            <w:r w:rsidRPr="001154CE">
              <w:rPr>
                <w:rStyle w:val="highlight"/>
                <w:rFonts w:ascii="Calibri" w:hAnsi="Calibri" w:cs="Arial"/>
                <w:color w:val="000000"/>
                <w:sz w:val="23"/>
                <w:szCs w:val="23"/>
              </w:rPr>
              <w:t>Endocrinologists</w:t>
            </w:r>
            <w:r w:rsidRPr="001154CE">
              <w:rPr>
                <w:rFonts w:ascii="Calibri" w:hAnsi="Calibri" w:cs="Arial"/>
                <w:color w:val="000000"/>
                <w:sz w:val="23"/>
                <w:szCs w:val="23"/>
              </w:rPr>
              <w:t> AFF = atypical femur fracture ASBMR = </w:t>
            </w:r>
            <w:r w:rsidRPr="001154CE">
              <w:rPr>
                <w:rStyle w:val="highlight"/>
                <w:rFonts w:ascii="Calibri" w:hAnsi="Calibri" w:cs="Arial"/>
                <w:color w:val="000000"/>
                <w:sz w:val="23"/>
                <w:szCs w:val="23"/>
              </w:rPr>
              <w:t>American</w:t>
            </w:r>
            <w:r w:rsidRPr="001154CE">
              <w:rPr>
                <w:rFonts w:ascii="Calibri" w:hAnsi="Calibri" w:cs="Arial"/>
                <w:color w:val="000000"/>
                <w:sz w:val="23"/>
                <w:szCs w:val="23"/>
              </w:rPr>
              <w:t> Society for Bone and Mineral Research BEL = best evidence level BMD = bone mineral density BTM = bone turnover marker CBC = complete blood count CI = confidence interval DXA = dual-energy X-ray absorptiometry EL = evidence level FDA = U.S. Food and Drug Administration FLEX = Fracture Intervention Trial (FIT) Long-term Extension FRAX</w:t>
            </w:r>
            <w:r w:rsidRPr="001154CE">
              <w:rPr>
                <w:rFonts w:ascii="Calibri" w:hAnsi="Calibri" w:cs="Arial"/>
                <w:color w:val="000000"/>
                <w:sz w:val="23"/>
                <w:szCs w:val="23"/>
                <w:vertAlign w:val="subscript"/>
              </w:rPr>
              <w:t>®</w:t>
            </w:r>
            <w:r w:rsidRPr="001154CE">
              <w:rPr>
                <w:rFonts w:ascii="Calibri" w:hAnsi="Calibri" w:cs="Arial"/>
                <w:color w:val="000000"/>
                <w:sz w:val="23"/>
                <w:szCs w:val="23"/>
              </w:rPr>
              <w:t xml:space="preserve"> = Fracture Risk Assessment Tool GFR = glomerular filtration rate GI = gastrointestinal HORIZON = Health Outcomes and Reduced Incidence with </w:t>
            </w:r>
            <w:proofErr w:type="spellStart"/>
            <w:r w:rsidRPr="001154CE">
              <w:rPr>
                <w:rFonts w:ascii="Calibri" w:hAnsi="Calibri" w:cs="Arial"/>
                <w:color w:val="000000"/>
                <w:sz w:val="23"/>
                <w:szCs w:val="23"/>
              </w:rPr>
              <w:t>Zoledronic</w:t>
            </w:r>
            <w:proofErr w:type="spellEnd"/>
            <w:r w:rsidRPr="001154CE">
              <w:rPr>
                <w:rFonts w:ascii="Calibri" w:hAnsi="Calibri" w:cs="Arial"/>
                <w:color w:val="000000"/>
                <w:sz w:val="23"/>
                <w:szCs w:val="23"/>
              </w:rPr>
              <w:t xml:space="preserve"> Acid Once Yearly IOF = International </w:t>
            </w:r>
            <w:r w:rsidRPr="001154CE">
              <w:rPr>
                <w:rStyle w:val="highlight"/>
                <w:rFonts w:ascii="Calibri" w:hAnsi="Calibri" w:cs="Arial"/>
                <w:color w:val="000000"/>
                <w:sz w:val="23"/>
                <w:szCs w:val="23"/>
              </w:rPr>
              <w:t>Osteoporosis</w:t>
            </w:r>
            <w:r w:rsidRPr="001154CE">
              <w:rPr>
                <w:rFonts w:ascii="Calibri" w:hAnsi="Calibri" w:cs="Arial"/>
                <w:color w:val="000000"/>
                <w:sz w:val="23"/>
                <w:szCs w:val="23"/>
              </w:rPr>
              <w:t> Foundation ISCD = International Society for </w:t>
            </w:r>
            <w:r w:rsidRPr="001154CE">
              <w:rPr>
                <w:rStyle w:val="highlight"/>
                <w:rFonts w:ascii="Calibri" w:hAnsi="Calibri" w:cs="Arial"/>
                <w:color w:val="000000"/>
                <w:sz w:val="23"/>
                <w:szCs w:val="23"/>
              </w:rPr>
              <w:t>Clinical</w:t>
            </w:r>
            <w:r w:rsidRPr="001154CE">
              <w:rPr>
                <w:rFonts w:ascii="Calibri" w:hAnsi="Calibri" w:cs="Arial"/>
                <w:color w:val="000000"/>
                <w:sz w:val="23"/>
                <w:szCs w:val="23"/>
              </w:rPr>
              <w:t> Densitometry IU = international units IV = intravenous LSC = least significant change NBHA = National Bone Health Alliance NOF = National </w:t>
            </w:r>
            <w:r w:rsidRPr="001154CE">
              <w:rPr>
                <w:rStyle w:val="highlight"/>
                <w:rFonts w:ascii="Calibri" w:hAnsi="Calibri" w:cs="Arial"/>
                <w:color w:val="000000"/>
                <w:sz w:val="23"/>
                <w:szCs w:val="23"/>
              </w:rPr>
              <w:t>Osteoporosis</w:t>
            </w:r>
            <w:r w:rsidRPr="001154CE">
              <w:rPr>
                <w:rFonts w:ascii="Calibri" w:hAnsi="Calibri" w:cs="Arial"/>
                <w:color w:val="000000"/>
                <w:sz w:val="23"/>
                <w:szCs w:val="23"/>
              </w:rPr>
              <w:t xml:space="preserve"> Foundation 25(OH)D = 25-hydroxy vitamin D ONJ = osteonecrosis of the jaw PINP = serum </w:t>
            </w:r>
            <w:proofErr w:type="spellStart"/>
            <w:r w:rsidRPr="001154CE">
              <w:rPr>
                <w:rFonts w:ascii="Calibri" w:hAnsi="Calibri" w:cs="Arial"/>
                <w:color w:val="000000"/>
                <w:sz w:val="23"/>
                <w:szCs w:val="23"/>
              </w:rPr>
              <w:t>carboxy</w:t>
            </w:r>
            <w:proofErr w:type="spellEnd"/>
            <w:r w:rsidRPr="001154CE">
              <w:rPr>
                <w:rFonts w:ascii="Calibri" w:hAnsi="Calibri" w:cs="Arial"/>
                <w:color w:val="000000"/>
                <w:sz w:val="23"/>
                <w:szCs w:val="23"/>
              </w:rPr>
              <w:t xml:space="preserve">-terminal </w:t>
            </w:r>
            <w:proofErr w:type="spellStart"/>
            <w:r w:rsidRPr="001154CE">
              <w:rPr>
                <w:rFonts w:ascii="Calibri" w:hAnsi="Calibri" w:cs="Arial"/>
                <w:color w:val="000000"/>
                <w:sz w:val="23"/>
                <w:szCs w:val="23"/>
              </w:rPr>
              <w:t>propeptide</w:t>
            </w:r>
            <w:proofErr w:type="spellEnd"/>
            <w:r w:rsidRPr="001154CE">
              <w:rPr>
                <w:rFonts w:ascii="Calibri" w:hAnsi="Calibri" w:cs="Arial"/>
                <w:color w:val="000000"/>
                <w:sz w:val="23"/>
                <w:szCs w:val="23"/>
              </w:rPr>
              <w:t xml:space="preserve"> of type I collagen PTH = parathyroid hormone R = recommendation RANK = receptor activator of nuclear factor kappa-B RANKL = receptor activator of nuclear factor kappa-B ligand RCT = randomized controlled trial RR = relative risk S-CTX = serum C-terminal </w:t>
            </w:r>
            <w:proofErr w:type="spellStart"/>
            <w:r w:rsidRPr="001154CE">
              <w:rPr>
                <w:rFonts w:ascii="Calibri" w:hAnsi="Calibri" w:cs="Arial"/>
                <w:color w:val="000000"/>
                <w:sz w:val="23"/>
                <w:szCs w:val="23"/>
              </w:rPr>
              <w:t>telopeptide</w:t>
            </w:r>
            <w:proofErr w:type="spellEnd"/>
            <w:r w:rsidRPr="001154CE">
              <w:rPr>
                <w:rFonts w:ascii="Calibri" w:hAnsi="Calibri" w:cs="Arial"/>
                <w:color w:val="000000"/>
                <w:sz w:val="23"/>
                <w:szCs w:val="23"/>
              </w:rPr>
              <w:t xml:space="preserve"> SQ = subcutaneous VFA = vertebral fracture assessment WHO = World Health Organization.</w:t>
            </w:r>
          </w:p>
        </w:tc>
      </w:tr>
      <w:tr w:rsidR="00572A16" w:rsidRPr="0095691D" w14:paraId="3C688EA4" w14:textId="77777777" w:rsidTr="00752FB1">
        <w:tc>
          <w:tcPr>
            <w:tcW w:w="1278" w:type="dxa"/>
          </w:tcPr>
          <w:sdt>
            <w:sdtPr>
              <w:rPr>
                <w:rFonts w:ascii="Calibri" w:hAnsi="Calibri"/>
                <w:sz w:val="23"/>
                <w:szCs w:val="23"/>
              </w:rPr>
              <w:tag w:val="goog_rdk_109"/>
              <w:id w:val="-1000429955"/>
            </w:sdtPr>
            <w:sdtEndPr/>
            <w:sdtContent>
              <w:p w14:paraId="5E6F8D61" w14:textId="77777777" w:rsidR="00572A16" w:rsidRPr="0095691D" w:rsidRDefault="00572A16" w:rsidP="00752FB1">
                <w:pPr>
                  <w:rPr>
                    <w:rFonts w:ascii="Calibri" w:hAnsi="Calibri"/>
                    <w:b/>
                    <w:sz w:val="23"/>
                    <w:szCs w:val="23"/>
                  </w:rPr>
                </w:pPr>
                <w:r w:rsidRPr="0095691D">
                  <w:rPr>
                    <w:rFonts w:ascii="Calibri" w:hAnsi="Calibri"/>
                    <w:b/>
                    <w:sz w:val="23"/>
                    <w:szCs w:val="23"/>
                  </w:rPr>
                  <w:t>PDF Link</w:t>
                </w:r>
              </w:p>
            </w:sdtContent>
          </w:sdt>
        </w:tc>
        <w:tc>
          <w:tcPr>
            <w:tcW w:w="8298" w:type="dxa"/>
          </w:tcPr>
          <w:sdt>
            <w:sdtPr>
              <w:rPr>
                <w:rFonts w:ascii="Calibri" w:hAnsi="Calibri"/>
                <w:sz w:val="23"/>
                <w:szCs w:val="23"/>
              </w:rPr>
              <w:tag w:val="goog_rdk_110"/>
              <w:id w:val="1987516598"/>
            </w:sdtPr>
            <w:sdtEndPr/>
            <w:sdtContent>
              <w:p w14:paraId="788FB6E6" w14:textId="77777777" w:rsidR="00572A16" w:rsidRPr="0095691D" w:rsidRDefault="00572A16" w:rsidP="00752FB1">
                <w:pPr>
                  <w:rPr>
                    <w:rFonts w:ascii="Calibri" w:hAnsi="Calibri"/>
                    <w:sz w:val="23"/>
                    <w:szCs w:val="23"/>
                  </w:rPr>
                </w:pPr>
                <w:r>
                  <w:rPr>
                    <w:rFonts w:ascii="Calibri" w:hAnsi="Calibri"/>
                    <w:sz w:val="23"/>
                    <w:szCs w:val="23"/>
                  </w:rPr>
                  <w:t>Article 6 - AACE/ACE</w:t>
                </w:r>
              </w:p>
            </w:sdtContent>
          </w:sdt>
        </w:tc>
      </w:tr>
    </w:tbl>
    <w:p w14:paraId="1234F170" w14:textId="77777777" w:rsidR="00572A16" w:rsidRPr="00CC1D40" w:rsidRDefault="00572A16" w:rsidP="00572A16">
      <w:pPr>
        <w:rPr>
          <w:rFonts w:ascii="Calibri" w:hAnsi="Calibri"/>
          <w:sz w:val="23"/>
          <w:szCs w:val="23"/>
        </w:rPr>
      </w:pPr>
    </w:p>
    <w:p w14:paraId="77C64163" w14:textId="0BC76EE6" w:rsidR="00806647" w:rsidRPr="00806647" w:rsidRDefault="002B15D1">
      <w:pPr>
        <w:rPr>
          <w:rFonts w:ascii="Calibri" w:hAnsi="Calibri"/>
          <w:b/>
          <w:sz w:val="23"/>
          <w:szCs w:val="23"/>
          <w:u w:val="single"/>
        </w:rPr>
      </w:pPr>
      <w:r w:rsidRPr="00806647">
        <w:rPr>
          <w:rFonts w:ascii="Calibri" w:hAnsi="Calibri"/>
          <w:b/>
          <w:sz w:val="23"/>
          <w:szCs w:val="23"/>
          <w:u w:val="single"/>
        </w:rPr>
        <w:t>Summary of the Evidence:</w:t>
      </w:r>
    </w:p>
    <w:tbl>
      <w:tblPr>
        <w:tblStyle w:val="LightGrid-Accent6"/>
        <w:tblW w:w="9814" w:type="dxa"/>
        <w:tblLook w:val="04A0" w:firstRow="1" w:lastRow="0" w:firstColumn="1" w:lastColumn="0" w:noHBand="0" w:noVBand="1"/>
      </w:tblPr>
      <w:tblGrid>
        <w:gridCol w:w="1261"/>
        <w:gridCol w:w="1229"/>
        <w:gridCol w:w="1891"/>
        <w:gridCol w:w="1970"/>
        <w:gridCol w:w="2606"/>
        <w:gridCol w:w="1866"/>
      </w:tblGrid>
      <w:tr w:rsidR="009B28D0" w:rsidRPr="007E1425" w14:paraId="6AE8E1B4" w14:textId="77777777" w:rsidTr="00484F40">
        <w:trPr>
          <w:cnfStyle w:val="100000000000" w:firstRow="1" w:lastRow="0" w:firstColumn="0" w:lastColumn="0" w:oddVBand="0" w:evenVBand="0" w:oddHBand="0"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1184" w:type="dxa"/>
          </w:tcPr>
          <w:p w14:paraId="55B6B38F" w14:textId="77777777" w:rsidR="002B15D1" w:rsidRPr="002B15D1" w:rsidRDefault="002B15D1" w:rsidP="00752FB1">
            <w:pPr>
              <w:rPr>
                <w:rFonts w:ascii="Calibri" w:eastAsiaTheme="minorHAnsi" w:hAnsi="Calibri"/>
                <w:b w:val="0"/>
                <w:sz w:val="23"/>
                <w:szCs w:val="23"/>
              </w:rPr>
            </w:pPr>
            <w:r w:rsidRPr="002B15D1">
              <w:rPr>
                <w:rFonts w:ascii="Calibri" w:eastAsiaTheme="minorHAnsi" w:hAnsi="Calibri"/>
                <w:b w:val="0"/>
                <w:sz w:val="23"/>
                <w:szCs w:val="23"/>
              </w:rPr>
              <w:t>Author (Date)</w:t>
            </w:r>
          </w:p>
        </w:tc>
        <w:tc>
          <w:tcPr>
            <w:tcW w:w="1233" w:type="dxa"/>
          </w:tcPr>
          <w:p w14:paraId="5D135C33" w14:textId="77777777" w:rsidR="002B15D1" w:rsidRPr="002B15D1" w:rsidRDefault="002B15D1" w:rsidP="00752FB1">
            <w:pPr>
              <w:cnfStyle w:val="100000000000" w:firstRow="1" w:lastRow="0" w:firstColumn="0" w:lastColumn="0" w:oddVBand="0" w:evenVBand="0" w:oddHBand="0" w:evenHBand="0" w:firstRowFirstColumn="0" w:firstRowLastColumn="0" w:lastRowFirstColumn="0" w:lastRowLastColumn="0"/>
              <w:rPr>
                <w:rFonts w:ascii="Calibri" w:eastAsiaTheme="minorHAnsi" w:hAnsi="Calibri"/>
                <w:b w:val="0"/>
                <w:sz w:val="23"/>
                <w:szCs w:val="23"/>
              </w:rPr>
            </w:pPr>
            <w:r w:rsidRPr="002B15D1">
              <w:rPr>
                <w:rFonts w:ascii="Calibri" w:eastAsiaTheme="minorHAnsi" w:hAnsi="Calibri"/>
                <w:b w:val="0"/>
                <w:sz w:val="23"/>
                <w:szCs w:val="23"/>
              </w:rPr>
              <w:t>Level of Evidence</w:t>
            </w:r>
          </w:p>
        </w:tc>
        <w:tc>
          <w:tcPr>
            <w:tcW w:w="1737" w:type="dxa"/>
          </w:tcPr>
          <w:p w14:paraId="4AC4F5E8" w14:textId="77777777" w:rsidR="002B15D1" w:rsidRPr="002B15D1" w:rsidRDefault="002B15D1" w:rsidP="00752FB1">
            <w:pPr>
              <w:cnfStyle w:val="100000000000" w:firstRow="1" w:lastRow="0" w:firstColumn="0" w:lastColumn="0" w:oddVBand="0" w:evenVBand="0" w:oddHBand="0" w:evenHBand="0" w:firstRowFirstColumn="0" w:firstRowLastColumn="0" w:lastRowFirstColumn="0" w:lastRowLastColumn="0"/>
              <w:rPr>
                <w:rFonts w:ascii="Calibri" w:eastAsiaTheme="minorHAnsi" w:hAnsi="Calibri"/>
                <w:b w:val="0"/>
                <w:sz w:val="23"/>
                <w:szCs w:val="23"/>
              </w:rPr>
            </w:pPr>
            <w:r w:rsidRPr="002B15D1">
              <w:rPr>
                <w:rFonts w:ascii="Calibri" w:eastAsiaTheme="minorHAnsi" w:hAnsi="Calibri"/>
                <w:b w:val="0"/>
                <w:sz w:val="23"/>
                <w:szCs w:val="23"/>
              </w:rPr>
              <w:t>Sample/Setting</w:t>
            </w:r>
          </w:p>
          <w:p w14:paraId="011A95E9" w14:textId="77777777" w:rsidR="002B15D1" w:rsidRPr="002B15D1" w:rsidRDefault="002B15D1" w:rsidP="00752FB1">
            <w:pPr>
              <w:cnfStyle w:val="100000000000" w:firstRow="1" w:lastRow="0" w:firstColumn="0" w:lastColumn="0" w:oddVBand="0" w:evenVBand="0" w:oddHBand="0" w:evenHBand="0" w:firstRowFirstColumn="0" w:firstRowLastColumn="0" w:lastRowFirstColumn="0" w:lastRowLastColumn="0"/>
              <w:rPr>
                <w:rFonts w:ascii="Calibri" w:eastAsiaTheme="minorHAnsi" w:hAnsi="Calibri"/>
                <w:b w:val="0"/>
                <w:sz w:val="23"/>
                <w:szCs w:val="23"/>
              </w:rPr>
            </w:pPr>
            <w:r w:rsidRPr="002B15D1">
              <w:rPr>
                <w:rFonts w:ascii="Calibri" w:eastAsiaTheme="minorHAnsi" w:hAnsi="Calibri"/>
                <w:b w:val="0"/>
                <w:sz w:val="23"/>
                <w:szCs w:val="23"/>
              </w:rPr>
              <w:t xml:space="preserve">(# </w:t>
            </w:r>
            <w:proofErr w:type="gramStart"/>
            <w:r w:rsidRPr="002B15D1">
              <w:rPr>
                <w:rFonts w:ascii="Calibri" w:eastAsiaTheme="minorHAnsi" w:hAnsi="Calibri"/>
                <w:b w:val="0"/>
                <w:sz w:val="23"/>
                <w:szCs w:val="23"/>
              </w:rPr>
              <w:t>of</w:t>
            </w:r>
            <w:proofErr w:type="gramEnd"/>
            <w:r w:rsidRPr="002B15D1">
              <w:rPr>
                <w:rFonts w:ascii="Calibri" w:eastAsiaTheme="minorHAnsi" w:hAnsi="Calibri"/>
                <w:b w:val="0"/>
                <w:sz w:val="23"/>
                <w:szCs w:val="23"/>
              </w:rPr>
              <w:t xml:space="preserve"> subjects/ studies, cohort definition etc. )</w:t>
            </w:r>
          </w:p>
        </w:tc>
        <w:tc>
          <w:tcPr>
            <w:tcW w:w="1317" w:type="dxa"/>
          </w:tcPr>
          <w:p w14:paraId="73F5A9D6" w14:textId="77777777" w:rsidR="002B15D1" w:rsidRPr="002B15D1" w:rsidRDefault="002B15D1" w:rsidP="00752FB1">
            <w:pPr>
              <w:cnfStyle w:val="100000000000" w:firstRow="1" w:lastRow="0" w:firstColumn="0" w:lastColumn="0" w:oddVBand="0" w:evenVBand="0" w:oddHBand="0" w:evenHBand="0" w:firstRowFirstColumn="0" w:firstRowLastColumn="0" w:lastRowFirstColumn="0" w:lastRowLastColumn="0"/>
              <w:rPr>
                <w:rFonts w:ascii="Calibri" w:eastAsiaTheme="minorHAnsi" w:hAnsi="Calibri"/>
                <w:b w:val="0"/>
                <w:sz w:val="23"/>
                <w:szCs w:val="23"/>
              </w:rPr>
            </w:pPr>
            <w:r w:rsidRPr="002B15D1">
              <w:rPr>
                <w:rFonts w:ascii="Calibri" w:eastAsiaTheme="minorHAnsi" w:hAnsi="Calibri"/>
                <w:b w:val="0"/>
                <w:sz w:val="23"/>
                <w:szCs w:val="23"/>
              </w:rPr>
              <w:t>Outcome(s) studied</w:t>
            </w:r>
          </w:p>
        </w:tc>
        <w:tc>
          <w:tcPr>
            <w:tcW w:w="2609" w:type="dxa"/>
          </w:tcPr>
          <w:p w14:paraId="32817EAA" w14:textId="77777777" w:rsidR="002B15D1" w:rsidRPr="002B15D1" w:rsidRDefault="002B15D1" w:rsidP="00752FB1">
            <w:pPr>
              <w:cnfStyle w:val="100000000000" w:firstRow="1" w:lastRow="0" w:firstColumn="0" w:lastColumn="0" w:oddVBand="0" w:evenVBand="0" w:oddHBand="0" w:evenHBand="0" w:firstRowFirstColumn="0" w:firstRowLastColumn="0" w:lastRowFirstColumn="0" w:lastRowLastColumn="0"/>
              <w:rPr>
                <w:rFonts w:ascii="Calibri" w:eastAsiaTheme="minorHAnsi" w:hAnsi="Calibri"/>
                <w:b w:val="0"/>
                <w:sz w:val="23"/>
                <w:szCs w:val="23"/>
              </w:rPr>
            </w:pPr>
            <w:r w:rsidRPr="002B15D1">
              <w:rPr>
                <w:rFonts w:ascii="Calibri" w:eastAsiaTheme="minorHAnsi" w:hAnsi="Calibri"/>
                <w:b w:val="0"/>
                <w:sz w:val="23"/>
                <w:szCs w:val="23"/>
              </w:rPr>
              <w:t>Key Findings</w:t>
            </w:r>
          </w:p>
        </w:tc>
        <w:tc>
          <w:tcPr>
            <w:tcW w:w="1734" w:type="dxa"/>
          </w:tcPr>
          <w:p w14:paraId="2CE511CE" w14:textId="77777777" w:rsidR="002B15D1" w:rsidRPr="002B15D1" w:rsidRDefault="002B15D1" w:rsidP="00752FB1">
            <w:pPr>
              <w:cnfStyle w:val="100000000000" w:firstRow="1" w:lastRow="0" w:firstColumn="0" w:lastColumn="0" w:oddVBand="0" w:evenVBand="0" w:oddHBand="0" w:evenHBand="0" w:firstRowFirstColumn="0" w:firstRowLastColumn="0" w:lastRowFirstColumn="0" w:lastRowLastColumn="0"/>
              <w:rPr>
                <w:rFonts w:ascii="Calibri" w:eastAsiaTheme="minorHAnsi" w:hAnsi="Calibri"/>
                <w:b w:val="0"/>
                <w:sz w:val="23"/>
                <w:szCs w:val="23"/>
              </w:rPr>
            </w:pPr>
            <w:r w:rsidRPr="002B15D1">
              <w:rPr>
                <w:rFonts w:ascii="Calibri" w:eastAsiaTheme="minorHAnsi" w:hAnsi="Calibri"/>
                <w:b w:val="0"/>
                <w:sz w:val="23"/>
                <w:szCs w:val="23"/>
              </w:rPr>
              <w:t>Limitations and Biases</w:t>
            </w:r>
          </w:p>
        </w:tc>
      </w:tr>
      <w:tr w:rsidR="009B28D0" w14:paraId="1B72EA51" w14:textId="77777777" w:rsidTr="00484F40">
        <w:trPr>
          <w:cnfStyle w:val="000000100000" w:firstRow="0" w:lastRow="0" w:firstColumn="0" w:lastColumn="0" w:oddVBand="0" w:evenVBand="0" w:oddHBand="1" w:evenHBand="0" w:firstRowFirstColumn="0" w:firstRowLastColumn="0" w:lastRowFirstColumn="0" w:lastRowLastColumn="0"/>
          <w:trHeight w:val="4640"/>
        </w:trPr>
        <w:tc>
          <w:tcPr>
            <w:cnfStyle w:val="001000000000" w:firstRow="0" w:lastRow="0" w:firstColumn="1" w:lastColumn="0" w:oddVBand="0" w:evenVBand="0" w:oddHBand="0" w:evenHBand="0" w:firstRowFirstColumn="0" w:firstRowLastColumn="0" w:lastRowFirstColumn="0" w:lastRowLastColumn="0"/>
            <w:tcW w:w="1184" w:type="dxa"/>
          </w:tcPr>
          <w:p w14:paraId="7EE45836" w14:textId="6E8BFB70" w:rsidR="002B15D1" w:rsidRPr="002B15D1" w:rsidRDefault="002B15D1">
            <w:pPr>
              <w:rPr>
                <w:rFonts w:ascii="Calibri" w:hAnsi="Calibri"/>
                <w:sz w:val="23"/>
                <w:szCs w:val="23"/>
              </w:rPr>
            </w:pPr>
            <w:r>
              <w:rPr>
                <w:rFonts w:ascii="Calibri" w:hAnsi="Calibri"/>
                <w:sz w:val="23"/>
                <w:szCs w:val="23"/>
              </w:rPr>
              <w:t xml:space="preserve">Fink, et al., 2019 </w:t>
            </w:r>
          </w:p>
        </w:tc>
        <w:tc>
          <w:tcPr>
            <w:tcW w:w="1233" w:type="dxa"/>
          </w:tcPr>
          <w:p w14:paraId="191900FD" w14:textId="0B39FC50" w:rsidR="002B15D1" w:rsidRPr="002B15D1" w:rsidRDefault="002B15D1">
            <w:pPr>
              <w:cnfStyle w:val="000000100000" w:firstRow="0" w:lastRow="0" w:firstColumn="0" w:lastColumn="0" w:oddVBand="0" w:evenVBand="0" w:oddHBand="1" w:evenHBand="0" w:firstRowFirstColumn="0" w:firstRowLastColumn="0" w:lastRowFirstColumn="0" w:lastRowLastColumn="0"/>
              <w:rPr>
                <w:rFonts w:ascii="Calibri" w:hAnsi="Calibri"/>
                <w:sz w:val="23"/>
                <w:szCs w:val="23"/>
              </w:rPr>
            </w:pPr>
            <w:r>
              <w:rPr>
                <w:rFonts w:ascii="Calibri" w:hAnsi="Calibri"/>
                <w:sz w:val="23"/>
                <w:szCs w:val="23"/>
              </w:rPr>
              <w:t>Systematic review</w:t>
            </w:r>
          </w:p>
        </w:tc>
        <w:tc>
          <w:tcPr>
            <w:tcW w:w="1737" w:type="dxa"/>
          </w:tcPr>
          <w:p w14:paraId="37ED9242" w14:textId="77777777" w:rsidR="006864A8" w:rsidRDefault="006864A8" w:rsidP="006864A8">
            <w:pPr>
              <w:cnfStyle w:val="000000100000" w:firstRow="0" w:lastRow="0" w:firstColumn="0" w:lastColumn="0" w:oddVBand="0" w:evenVBand="0" w:oddHBand="1" w:evenHBand="0" w:firstRowFirstColumn="0" w:firstRowLastColumn="0" w:lastRowFirstColumn="0" w:lastRowLastColumn="0"/>
              <w:rPr>
                <w:rFonts w:ascii="Calibri" w:hAnsi="Calibri"/>
                <w:sz w:val="23"/>
                <w:szCs w:val="23"/>
              </w:rPr>
            </w:pPr>
            <w:r w:rsidRPr="006864A8">
              <w:rPr>
                <w:rFonts w:ascii="Calibri" w:hAnsi="Calibri"/>
                <w:sz w:val="23"/>
                <w:szCs w:val="23"/>
              </w:rPr>
              <w:t xml:space="preserve">-Databases used include MEDLINE, </w:t>
            </w:r>
            <w:proofErr w:type="spellStart"/>
            <w:r w:rsidRPr="006864A8">
              <w:rPr>
                <w:rFonts w:ascii="Calibri" w:hAnsi="Calibri"/>
                <w:sz w:val="23"/>
                <w:szCs w:val="23"/>
              </w:rPr>
              <w:t>Embase</w:t>
            </w:r>
            <w:proofErr w:type="spellEnd"/>
            <w:r w:rsidRPr="006864A8">
              <w:rPr>
                <w:rFonts w:ascii="Calibri" w:hAnsi="Calibri"/>
                <w:sz w:val="23"/>
                <w:szCs w:val="23"/>
              </w:rPr>
              <w:t xml:space="preserve">, </w:t>
            </w:r>
            <w:r>
              <w:rPr>
                <w:rFonts w:ascii="Calibri" w:hAnsi="Calibri"/>
                <w:sz w:val="23"/>
                <w:szCs w:val="23"/>
              </w:rPr>
              <w:t>Cochrane Library</w:t>
            </w:r>
            <w:r w:rsidRPr="006864A8">
              <w:rPr>
                <w:rFonts w:ascii="Calibri" w:hAnsi="Calibri"/>
                <w:sz w:val="23"/>
                <w:szCs w:val="23"/>
              </w:rPr>
              <w:t xml:space="preserve">, Clinicaltrials.gov </w:t>
            </w:r>
            <w:r>
              <w:rPr>
                <w:rFonts w:ascii="Calibri" w:hAnsi="Calibri"/>
                <w:sz w:val="23"/>
                <w:szCs w:val="23"/>
              </w:rPr>
              <w:t>for relevant systematic reviews</w:t>
            </w:r>
            <w:r w:rsidRPr="006864A8">
              <w:rPr>
                <w:rFonts w:ascii="Calibri" w:hAnsi="Calibri"/>
                <w:sz w:val="23"/>
                <w:szCs w:val="23"/>
              </w:rPr>
              <w:t xml:space="preserve"> </w:t>
            </w:r>
          </w:p>
          <w:p w14:paraId="6F4796A4" w14:textId="62CF0A0E" w:rsidR="002B15D1" w:rsidRPr="002B15D1" w:rsidRDefault="006864A8" w:rsidP="006864A8">
            <w:pPr>
              <w:cnfStyle w:val="000000100000" w:firstRow="0" w:lastRow="0" w:firstColumn="0" w:lastColumn="0" w:oddVBand="0" w:evenVBand="0" w:oddHBand="1" w:evenHBand="0" w:firstRowFirstColumn="0" w:firstRowLastColumn="0" w:lastRowFirstColumn="0" w:lastRowLastColumn="0"/>
              <w:rPr>
                <w:rFonts w:ascii="Calibri" w:hAnsi="Calibri"/>
                <w:sz w:val="23"/>
                <w:szCs w:val="23"/>
              </w:rPr>
            </w:pPr>
            <w:r w:rsidRPr="006864A8">
              <w:rPr>
                <w:rFonts w:ascii="Calibri" w:hAnsi="Calibri"/>
                <w:sz w:val="23"/>
                <w:szCs w:val="23"/>
              </w:rPr>
              <w:t xml:space="preserve">-Ultimately included </w:t>
            </w:r>
            <w:r>
              <w:rPr>
                <w:rFonts w:ascii="Calibri" w:hAnsi="Calibri"/>
                <w:sz w:val="23"/>
                <w:szCs w:val="23"/>
              </w:rPr>
              <w:t>61</w:t>
            </w:r>
            <w:r w:rsidRPr="006864A8">
              <w:rPr>
                <w:rFonts w:ascii="Calibri" w:hAnsi="Calibri"/>
                <w:sz w:val="23"/>
                <w:szCs w:val="23"/>
              </w:rPr>
              <w:t xml:space="preserve"> studies (</w:t>
            </w:r>
            <w:r>
              <w:rPr>
                <w:rFonts w:ascii="Calibri" w:hAnsi="Calibri"/>
                <w:sz w:val="23"/>
                <w:szCs w:val="23"/>
              </w:rPr>
              <w:t>including but not limited to 35 RCTs, 13 controlled observational studies)</w:t>
            </w:r>
          </w:p>
        </w:tc>
        <w:tc>
          <w:tcPr>
            <w:tcW w:w="1317" w:type="dxa"/>
          </w:tcPr>
          <w:p w14:paraId="3307DFC3" w14:textId="77777777" w:rsidR="002B15D1" w:rsidRDefault="002B15D1" w:rsidP="002B15D1">
            <w:pPr>
              <w:cnfStyle w:val="000000100000" w:firstRow="0" w:lastRow="0" w:firstColumn="0" w:lastColumn="0" w:oddVBand="0" w:evenVBand="0" w:oddHBand="1" w:evenHBand="0" w:firstRowFirstColumn="0" w:firstRowLastColumn="0" w:lastRowFirstColumn="0" w:lastRowLastColumn="0"/>
              <w:rPr>
                <w:rFonts w:ascii="Calibri" w:hAnsi="Calibri"/>
                <w:sz w:val="23"/>
                <w:szCs w:val="23"/>
              </w:rPr>
            </w:pPr>
            <w:r>
              <w:rPr>
                <w:rFonts w:ascii="Calibri" w:hAnsi="Calibri" w:hint="eastAsia"/>
                <w:sz w:val="23"/>
                <w:szCs w:val="23"/>
              </w:rPr>
              <w:t>-</w:t>
            </w:r>
            <w:r w:rsidRPr="002B15D1">
              <w:rPr>
                <w:rFonts w:ascii="Calibri" w:hAnsi="Calibri" w:hint="eastAsia"/>
                <w:sz w:val="23"/>
                <w:szCs w:val="23"/>
              </w:rPr>
              <w:t xml:space="preserve">Outcomes studied included efficacy of long term ODT, harms, and effects on fractures </w:t>
            </w:r>
          </w:p>
          <w:p w14:paraId="286AFC47" w14:textId="77777777" w:rsidR="002B15D1" w:rsidRPr="002B15D1" w:rsidRDefault="002B15D1">
            <w:pPr>
              <w:cnfStyle w:val="000000100000" w:firstRow="0" w:lastRow="0" w:firstColumn="0" w:lastColumn="0" w:oddVBand="0" w:evenVBand="0" w:oddHBand="1" w:evenHBand="0" w:firstRowFirstColumn="0" w:firstRowLastColumn="0" w:lastRowFirstColumn="0" w:lastRowLastColumn="0"/>
              <w:rPr>
                <w:rFonts w:ascii="Calibri" w:hAnsi="Calibri"/>
                <w:b/>
                <w:sz w:val="23"/>
                <w:szCs w:val="23"/>
              </w:rPr>
            </w:pPr>
          </w:p>
        </w:tc>
        <w:tc>
          <w:tcPr>
            <w:tcW w:w="2609" w:type="dxa"/>
          </w:tcPr>
          <w:p w14:paraId="13929E9A" w14:textId="59A7A08C" w:rsidR="002B15D1" w:rsidRDefault="002B15D1">
            <w:pPr>
              <w:cnfStyle w:val="000000100000" w:firstRow="0" w:lastRow="0" w:firstColumn="0" w:lastColumn="0" w:oddVBand="0" w:evenVBand="0" w:oddHBand="1" w:evenHBand="0" w:firstRowFirstColumn="0" w:firstRowLastColumn="0" w:lastRowFirstColumn="0" w:lastRowLastColumn="0"/>
              <w:rPr>
                <w:rFonts w:ascii="Calibri" w:hAnsi="Calibri"/>
                <w:sz w:val="23"/>
                <w:szCs w:val="23"/>
              </w:rPr>
            </w:pPr>
            <w:r>
              <w:rPr>
                <w:rFonts w:ascii="Calibri" w:hAnsi="Calibri"/>
                <w:sz w:val="23"/>
                <w:szCs w:val="23"/>
              </w:rPr>
              <w:t>-</w:t>
            </w:r>
            <w:r w:rsidRPr="002B15D1">
              <w:rPr>
                <w:rFonts w:ascii="Calibri" w:hAnsi="Calibri"/>
                <w:sz w:val="23"/>
                <w:szCs w:val="23"/>
              </w:rPr>
              <w:t>The purpos</w:t>
            </w:r>
            <w:r w:rsidR="00752FB1">
              <w:rPr>
                <w:rFonts w:ascii="Calibri" w:hAnsi="Calibri"/>
                <w:sz w:val="23"/>
                <w:szCs w:val="23"/>
              </w:rPr>
              <w:t>e of this study is to summarize optimal long-term osteoporosis drug treatment (</w:t>
            </w:r>
            <w:r w:rsidRPr="002B15D1">
              <w:rPr>
                <w:rFonts w:ascii="Calibri" w:hAnsi="Calibri"/>
                <w:sz w:val="23"/>
                <w:szCs w:val="23"/>
              </w:rPr>
              <w:t>ODT</w:t>
            </w:r>
            <w:r w:rsidR="00752FB1">
              <w:rPr>
                <w:rFonts w:ascii="Calibri" w:hAnsi="Calibri"/>
                <w:sz w:val="23"/>
                <w:szCs w:val="23"/>
              </w:rPr>
              <w:t>)</w:t>
            </w:r>
            <w:r w:rsidRPr="002B15D1">
              <w:rPr>
                <w:rFonts w:ascii="Calibri" w:hAnsi="Calibri"/>
                <w:sz w:val="23"/>
                <w:szCs w:val="23"/>
              </w:rPr>
              <w:t xml:space="preserve"> and determine any harms of prolonged use of long-term bisphosphonate treatment</w:t>
            </w:r>
          </w:p>
          <w:p w14:paraId="7EEB0570" w14:textId="77777777" w:rsidR="002B15D1" w:rsidRDefault="002B15D1">
            <w:pPr>
              <w:cnfStyle w:val="000000100000" w:firstRow="0" w:lastRow="0" w:firstColumn="0" w:lastColumn="0" w:oddVBand="0" w:evenVBand="0" w:oddHBand="1" w:evenHBand="0" w:firstRowFirstColumn="0" w:firstRowLastColumn="0" w:lastRowFirstColumn="0" w:lastRowLastColumn="0"/>
              <w:rPr>
                <w:rFonts w:ascii="Calibri" w:hAnsi="Calibri"/>
                <w:sz w:val="23"/>
                <w:szCs w:val="23"/>
              </w:rPr>
            </w:pPr>
            <w:r>
              <w:rPr>
                <w:rFonts w:ascii="Calibri" w:hAnsi="Calibri" w:hint="eastAsia"/>
                <w:sz w:val="23"/>
                <w:szCs w:val="23"/>
              </w:rPr>
              <w:t>-</w:t>
            </w:r>
            <w:r w:rsidRPr="002B15D1">
              <w:rPr>
                <w:rFonts w:ascii="Calibri" w:hAnsi="Calibri" w:hint="eastAsia"/>
                <w:sz w:val="23"/>
                <w:szCs w:val="23"/>
              </w:rPr>
              <w:t xml:space="preserve">Additionally, the authors looked into variation in such outcomes based on patient demographics, bone, or drug characteristics </w:t>
            </w:r>
          </w:p>
          <w:p w14:paraId="7A0502B1" w14:textId="77777777" w:rsidR="002B15D1" w:rsidRDefault="002B15D1">
            <w:pPr>
              <w:cnfStyle w:val="000000100000" w:firstRow="0" w:lastRow="0" w:firstColumn="0" w:lastColumn="0" w:oddVBand="0" w:evenVBand="0" w:oddHBand="1" w:evenHBand="0" w:firstRowFirstColumn="0" w:firstRowLastColumn="0" w:lastRowFirstColumn="0" w:lastRowLastColumn="0"/>
              <w:rPr>
                <w:rFonts w:ascii="Calibri" w:hAnsi="Calibri"/>
                <w:sz w:val="23"/>
                <w:szCs w:val="23"/>
              </w:rPr>
            </w:pPr>
            <w:r>
              <w:rPr>
                <w:rFonts w:ascii="Calibri" w:hAnsi="Calibri"/>
                <w:sz w:val="23"/>
                <w:szCs w:val="23"/>
              </w:rPr>
              <w:t>-</w:t>
            </w:r>
            <w:r w:rsidRPr="002B15D1">
              <w:rPr>
                <w:rFonts w:ascii="Calibri" w:hAnsi="Calibri" w:hint="eastAsia"/>
                <w:sz w:val="23"/>
                <w:szCs w:val="23"/>
              </w:rPr>
              <w:t>In women with personal history of osteopenia/osteoporosis, 4 years of alendronate compared with placebo was associated with reduced radiographic vertebral fractures but did not significantly re</w:t>
            </w:r>
            <w:r>
              <w:rPr>
                <w:rFonts w:ascii="Calibri" w:hAnsi="Calibri" w:hint="eastAsia"/>
                <w:sz w:val="23"/>
                <w:szCs w:val="23"/>
              </w:rPr>
              <w:t xml:space="preserve">duce </w:t>
            </w:r>
            <w:proofErr w:type="spellStart"/>
            <w:r>
              <w:rPr>
                <w:rFonts w:ascii="Calibri" w:hAnsi="Calibri" w:hint="eastAsia"/>
                <w:sz w:val="23"/>
                <w:szCs w:val="23"/>
              </w:rPr>
              <w:t>nonvertebral</w:t>
            </w:r>
            <w:proofErr w:type="spellEnd"/>
            <w:r>
              <w:rPr>
                <w:rFonts w:ascii="Calibri" w:hAnsi="Calibri" w:hint="eastAsia"/>
                <w:sz w:val="23"/>
                <w:szCs w:val="23"/>
              </w:rPr>
              <w:t>/hip fractures</w:t>
            </w:r>
          </w:p>
          <w:p w14:paraId="21ED39E0" w14:textId="77777777" w:rsidR="002B15D1" w:rsidRDefault="002B15D1">
            <w:pPr>
              <w:cnfStyle w:val="000000100000" w:firstRow="0" w:lastRow="0" w:firstColumn="0" w:lastColumn="0" w:oddVBand="0" w:evenVBand="0" w:oddHBand="1" w:evenHBand="0" w:firstRowFirstColumn="0" w:firstRowLastColumn="0" w:lastRowFirstColumn="0" w:lastRowLastColumn="0"/>
              <w:rPr>
                <w:rFonts w:ascii="Calibri" w:hAnsi="Calibri"/>
                <w:sz w:val="23"/>
                <w:szCs w:val="23"/>
              </w:rPr>
            </w:pPr>
            <w:r>
              <w:rPr>
                <w:rFonts w:ascii="Calibri" w:hAnsi="Calibri"/>
                <w:sz w:val="23"/>
                <w:szCs w:val="23"/>
              </w:rPr>
              <w:t>-</w:t>
            </w:r>
            <w:r w:rsidRPr="002B15D1">
              <w:rPr>
                <w:rFonts w:ascii="Calibri" w:hAnsi="Calibri" w:hint="eastAsia"/>
                <w:sz w:val="23"/>
                <w:szCs w:val="23"/>
              </w:rPr>
              <w:t xml:space="preserve">Long-term bisphosphonate treatment may increase risk of atypical femoral fracture, </w:t>
            </w:r>
            <w:proofErr w:type="spellStart"/>
            <w:r w:rsidRPr="002B15D1">
              <w:rPr>
                <w:rFonts w:ascii="Calibri" w:hAnsi="Calibri" w:hint="eastAsia"/>
                <w:sz w:val="23"/>
                <w:szCs w:val="23"/>
              </w:rPr>
              <w:t>subtrochanteric</w:t>
            </w:r>
            <w:proofErr w:type="spellEnd"/>
            <w:r w:rsidRPr="002B15D1">
              <w:rPr>
                <w:rFonts w:ascii="Calibri" w:hAnsi="Calibri" w:hint="eastAsia"/>
                <w:sz w:val="23"/>
                <w:szCs w:val="23"/>
              </w:rPr>
              <w:t>/femoral shaft fractures, or osteonec</w:t>
            </w:r>
            <w:r>
              <w:rPr>
                <w:rFonts w:ascii="Calibri" w:hAnsi="Calibri" w:hint="eastAsia"/>
                <w:sz w:val="23"/>
                <w:szCs w:val="23"/>
              </w:rPr>
              <w:t>rosis of the jaw, although rare</w:t>
            </w:r>
          </w:p>
          <w:p w14:paraId="2B5CFC72" w14:textId="281FDE36" w:rsidR="002B15D1" w:rsidRPr="002B15D1" w:rsidRDefault="002B15D1">
            <w:pPr>
              <w:cnfStyle w:val="000000100000" w:firstRow="0" w:lastRow="0" w:firstColumn="0" w:lastColumn="0" w:oddVBand="0" w:evenVBand="0" w:oddHBand="1" w:evenHBand="0" w:firstRowFirstColumn="0" w:firstRowLastColumn="0" w:lastRowFirstColumn="0" w:lastRowLastColumn="0"/>
              <w:rPr>
                <w:rFonts w:ascii="Calibri" w:hAnsi="Calibri"/>
                <w:sz w:val="23"/>
                <w:szCs w:val="23"/>
              </w:rPr>
            </w:pPr>
            <w:r>
              <w:rPr>
                <w:rFonts w:ascii="Calibri" w:hAnsi="Calibri"/>
                <w:sz w:val="23"/>
                <w:szCs w:val="23"/>
              </w:rPr>
              <w:t>-</w:t>
            </w:r>
            <w:r w:rsidRPr="002B15D1">
              <w:rPr>
                <w:rFonts w:ascii="Calibri" w:hAnsi="Calibri" w:hint="eastAsia"/>
                <w:sz w:val="23"/>
                <w:szCs w:val="23"/>
              </w:rPr>
              <w:t>Continuing long-term bisphosphonate treatment beyond 3-5 years may reduce risk of developing vertebral fractures</w:t>
            </w:r>
          </w:p>
        </w:tc>
        <w:tc>
          <w:tcPr>
            <w:tcW w:w="1734" w:type="dxa"/>
          </w:tcPr>
          <w:p w14:paraId="05A87A89" w14:textId="33627091" w:rsidR="002B15D1" w:rsidRDefault="00752FB1">
            <w:pPr>
              <w:cnfStyle w:val="000000100000" w:firstRow="0" w:lastRow="0" w:firstColumn="0" w:lastColumn="0" w:oddVBand="0" w:evenVBand="0" w:oddHBand="1" w:evenHBand="0" w:firstRowFirstColumn="0" w:firstRowLastColumn="0" w:lastRowFirstColumn="0" w:lastRowLastColumn="0"/>
              <w:rPr>
                <w:rFonts w:ascii="Calibri" w:hAnsi="Calibri"/>
                <w:sz w:val="23"/>
                <w:szCs w:val="23"/>
              </w:rPr>
            </w:pPr>
            <w:r>
              <w:rPr>
                <w:rFonts w:ascii="Calibri" w:hAnsi="Calibri"/>
                <w:sz w:val="23"/>
                <w:szCs w:val="23"/>
              </w:rPr>
              <w:t>-There were few studies that actually examined long term ODT, its discontinuation, or its holidays although short-term efficacy has been proven</w:t>
            </w:r>
          </w:p>
          <w:p w14:paraId="2D0154DE" w14:textId="77777777" w:rsidR="00752FB1" w:rsidRDefault="00752FB1">
            <w:pPr>
              <w:cnfStyle w:val="000000100000" w:firstRow="0" w:lastRow="0" w:firstColumn="0" w:lastColumn="0" w:oddVBand="0" w:evenVBand="0" w:oddHBand="1" w:evenHBand="0" w:firstRowFirstColumn="0" w:firstRowLastColumn="0" w:lastRowFirstColumn="0" w:lastRowLastColumn="0"/>
              <w:rPr>
                <w:rFonts w:ascii="Calibri" w:hAnsi="Calibri"/>
                <w:sz w:val="23"/>
                <w:szCs w:val="23"/>
              </w:rPr>
            </w:pPr>
            <w:r>
              <w:rPr>
                <w:rFonts w:ascii="Calibri" w:hAnsi="Calibri"/>
                <w:sz w:val="23"/>
                <w:szCs w:val="23"/>
              </w:rPr>
              <w:t>-Several studies had low statistical power for outcome for clinical fracture</w:t>
            </w:r>
          </w:p>
          <w:p w14:paraId="294D7449" w14:textId="3066B073" w:rsidR="00752FB1" w:rsidRPr="002B15D1" w:rsidRDefault="00752FB1">
            <w:pPr>
              <w:cnfStyle w:val="000000100000" w:firstRow="0" w:lastRow="0" w:firstColumn="0" w:lastColumn="0" w:oddVBand="0" w:evenVBand="0" w:oddHBand="1" w:evenHBand="0" w:firstRowFirstColumn="0" w:firstRowLastColumn="0" w:lastRowFirstColumn="0" w:lastRowLastColumn="0"/>
              <w:rPr>
                <w:rFonts w:ascii="Calibri" w:hAnsi="Calibri"/>
                <w:sz w:val="23"/>
                <w:szCs w:val="23"/>
              </w:rPr>
            </w:pPr>
            <w:r>
              <w:rPr>
                <w:rFonts w:ascii="Calibri" w:hAnsi="Calibri"/>
                <w:sz w:val="23"/>
                <w:szCs w:val="23"/>
              </w:rPr>
              <w:t>-</w:t>
            </w:r>
            <w:r w:rsidR="00686D02">
              <w:rPr>
                <w:rFonts w:ascii="Calibri" w:hAnsi="Calibri"/>
                <w:sz w:val="23"/>
                <w:szCs w:val="23"/>
              </w:rPr>
              <w:t>Reporting of harms was not consistent between the studies</w:t>
            </w:r>
          </w:p>
        </w:tc>
      </w:tr>
      <w:tr w:rsidR="009B28D0" w14:paraId="269DA51B" w14:textId="77777777" w:rsidTr="00484F40">
        <w:trPr>
          <w:cnfStyle w:val="000000010000" w:firstRow="0" w:lastRow="0" w:firstColumn="0" w:lastColumn="0" w:oddVBand="0" w:evenVBand="0" w:oddHBand="0" w:evenHBand="1"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184" w:type="dxa"/>
          </w:tcPr>
          <w:p w14:paraId="2293D814" w14:textId="7DB57829" w:rsidR="002B15D1" w:rsidRPr="002B15D1" w:rsidRDefault="00484F40">
            <w:pPr>
              <w:rPr>
                <w:rFonts w:ascii="Calibri" w:hAnsi="Calibri"/>
                <w:sz w:val="23"/>
                <w:szCs w:val="23"/>
              </w:rPr>
            </w:pPr>
            <w:r>
              <w:rPr>
                <w:rFonts w:ascii="Calibri" w:hAnsi="Calibri"/>
                <w:sz w:val="23"/>
                <w:szCs w:val="23"/>
              </w:rPr>
              <w:t>Dennison, et al., 2019</w:t>
            </w:r>
          </w:p>
        </w:tc>
        <w:tc>
          <w:tcPr>
            <w:tcW w:w="1233" w:type="dxa"/>
          </w:tcPr>
          <w:p w14:paraId="1CD54904" w14:textId="35CFC8B6" w:rsidR="002B15D1" w:rsidRPr="002B15D1" w:rsidRDefault="00484F40">
            <w:pPr>
              <w:cnfStyle w:val="000000010000" w:firstRow="0" w:lastRow="0" w:firstColumn="0" w:lastColumn="0" w:oddVBand="0" w:evenVBand="0" w:oddHBand="0" w:evenHBand="1" w:firstRowFirstColumn="0" w:firstRowLastColumn="0" w:lastRowFirstColumn="0" w:lastRowLastColumn="0"/>
              <w:rPr>
                <w:rFonts w:ascii="Calibri" w:hAnsi="Calibri"/>
                <w:sz w:val="23"/>
                <w:szCs w:val="23"/>
              </w:rPr>
            </w:pPr>
            <w:r>
              <w:rPr>
                <w:rFonts w:ascii="Calibri" w:hAnsi="Calibri"/>
                <w:sz w:val="23"/>
                <w:szCs w:val="23"/>
              </w:rPr>
              <w:t>Systematic review</w:t>
            </w:r>
          </w:p>
        </w:tc>
        <w:tc>
          <w:tcPr>
            <w:tcW w:w="1737" w:type="dxa"/>
          </w:tcPr>
          <w:p w14:paraId="54DD99B1" w14:textId="16EE6C9B" w:rsidR="002B15D1" w:rsidRDefault="009B28D0">
            <w:pPr>
              <w:cnfStyle w:val="000000010000" w:firstRow="0" w:lastRow="0" w:firstColumn="0" w:lastColumn="0" w:oddVBand="0" w:evenVBand="0" w:oddHBand="0" w:evenHBand="1" w:firstRowFirstColumn="0" w:firstRowLastColumn="0" w:lastRowFirstColumn="0" w:lastRowLastColumn="0"/>
              <w:rPr>
                <w:rFonts w:ascii="Calibri" w:hAnsi="Calibri"/>
                <w:sz w:val="23"/>
                <w:szCs w:val="23"/>
              </w:rPr>
            </w:pPr>
            <w:r>
              <w:rPr>
                <w:rFonts w:ascii="Calibri" w:hAnsi="Calibri"/>
                <w:sz w:val="23"/>
                <w:szCs w:val="23"/>
              </w:rPr>
              <w:t>-The authors used a PICO style approach for conducting their systematic review</w:t>
            </w:r>
          </w:p>
          <w:p w14:paraId="73C843B0" w14:textId="77777777" w:rsidR="009B28D0" w:rsidRDefault="009B28D0" w:rsidP="009B28D0">
            <w:pPr>
              <w:cnfStyle w:val="000000010000" w:firstRow="0" w:lastRow="0" w:firstColumn="0" w:lastColumn="0" w:oddVBand="0" w:evenVBand="0" w:oddHBand="0" w:evenHBand="1" w:firstRowFirstColumn="0" w:firstRowLastColumn="0" w:lastRowFirstColumn="0" w:lastRowLastColumn="0"/>
              <w:rPr>
                <w:rFonts w:ascii="Calibri" w:hAnsi="Calibri"/>
                <w:sz w:val="23"/>
                <w:szCs w:val="23"/>
              </w:rPr>
            </w:pPr>
            <w:r>
              <w:rPr>
                <w:rFonts w:ascii="Calibri" w:hAnsi="Calibri"/>
                <w:sz w:val="23"/>
                <w:szCs w:val="23"/>
              </w:rPr>
              <w:t>-</w:t>
            </w:r>
            <w:r w:rsidRPr="006864A8">
              <w:rPr>
                <w:rFonts w:ascii="Calibri" w:hAnsi="Calibri"/>
                <w:sz w:val="23"/>
                <w:szCs w:val="23"/>
              </w:rPr>
              <w:t xml:space="preserve">Databases used include </w:t>
            </w:r>
            <w:proofErr w:type="spellStart"/>
            <w:r>
              <w:rPr>
                <w:rFonts w:ascii="Calibri" w:hAnsi="Calibri"/>
                <w:sz w:val="23"/>
                <w:szCs w:val="23"/>
              </w:rPr>
              <w:t>Pubmed</w:t>
            </w:r>
            <w:proofErr w:type="spellEnd"/>
            <w:r>
              <w:rPr>
                <w:rFonts w:ascii="Calibri" w:hAnsi="Calibri"/>
                <w:sz w:val="23"/>
                <w:szCs w:val="23"/>
              </w:rPr>
              <w:t xml:space="preserve">, </w:t>
            </w:r>
            <w:proofErr w:type="spellStart"/>
            <w:r w:rsidRPr="006864A8">
              <w:rPr>
                <w:rFonts w:ascii="Calibri" w:hAnsi="Calibri"/>
                <w:sz w:val="23"/>
                <w:szCs w:val="23"/>
              </w:rPr>
              <w:t>Embase</w:t>
            </w:r>
            <w:proofErr w:type="spellEnd"/>
            <w:r w:rsidRPr="006864A8">
              <w:rPr>
                <w:rFonts w:ascii="Calibri" w:hAnsi="Calibri"/>
                <w:sz w:val="23"/>
                <w:szCs w:val="23"/>
              </w:rPr>
              <w:t xml:space="preserve">, </w:t>
            </w:r>
            <w:r>
              <w:rPr>
                <w:rFonts w:ascii="Calibri" w:hAnsi="Calibri"/>
                <w:sz w:val="23"/>
                <w:szCs w:val="23"/>
              </w:rPr>
              <w:t>Cochrane Library</w:t>
            </w:r>
            <w:r w:rsidRPr="006864A8">
              <w:rPr>
                <w:rFonts w:ascii="Calibri" w:hAnsi="Calibri"/>
                <w:sz w:val="23"/>
                <w:szCs w:val="23"/>
              </w:rPr>
              <w:t xml:space="preserve">, </w:t>
            </w:r>
            <w:r>
              <w:rPr>
                <w:rFonts w:ascii="Calibri" w:hAnsi="Calibri"/>
                <w:sz w:val="23"/>
                <w:szCs w:val="23"/>
              </w:rPr>
              <w:t xml:space="preserve">NHS Evidence, </w:t>
            </w:r>
            <w:proofErr w:type="spellStart"/>
            <w:r>
              <w:rPr>
                <w:rFonts w:ascii="Calibri" w:hAnsi="Calibri"/>
                <w:sz w:val="23"/>
                <w:szCs w:val="23"/>
              </w:rPr>
              <w:t>Epistemonikos</w:t>
            </w:r>
            <w:proofErr w:type="spellEnd"/>
            <w:r>
              <w:rPr>
                <w:rFonts w:ascii="Calibri" w:hAnsi="Calibri"/>
                <w:sz w:val="23"/>
                <w:szCs w:val="23"/>
              </w:rPr>
              <w:t xml:space="preserve">, and NIH records on </w:t>
            </w:r>
            <w:r w:rsidRPr="006864A8">
              <w:rPr>
                <w:rFonts w:ascii="Calibri" w:hAnsi="Calibri"/>
                <w:sz w:val="23"/>
                <w:szCs w:val="23"/>
              </w:rPr>
              <w:t>Clinicaltrials.gov</w:t>
            </w:r>
          </w:p>
          <w:p w14:paraId="3D5ED873" w14:textId="66E6ADDA" w:rsidR="009B28D0" w:rsidRPr="002B15D1" w:rsidRDefault="009B28D0" w:rsidP="009B28D0">
            <w:pPr>
              <w:cnfStyle w:val="000000010000" w:firstRow="0" w:lastRow="0" w:firstColumn="0" w:lastColumn="0" w:oddVBand="0" w:evenVBand="0" w:oddHBand="0" w:evenHBand="1" w:firstRowFirstColumn="0" w:firstRowLastColumn="0" w:lastRowFirstColumn="0" w:lastRowLastColumn="0"/>
              <w:rPr>
                <w:rFonts w:ascii="Calibri" w:hAnsi="Calibri"/>
                <w:sz w:val="23"/>
                <w:szCs w:val="23"/>
              </w:rPr>
            </w:pPr>
            <w:r>
              <w:rPr>
                <w:rFonts w:ascii="Calibri" w:hAnsi="Calibri"/>
                <w:sz w:val="23"/>
                <w:szCs w:val="23"/>
              </w:rPr>
              <w:t>-Ultimately included 38 RCTs</w:t>
            </w:r>
            <w:r w:rsidR="00CC4053">
              <w:rPr>
                <w:rFonts w:ascii="Calibri" w:hAnsi="Calibri"/>
                <w:sz w:val="23"/>
                <w:szCs w:val="23"/>
              </w:rPr>
              <w:t xml:space="preserve"> and several observational studies</w:t>
            </w:r>
          </w:p>
        </w:tc>
        <w:tc>
          <w:tcPr>
            <w:tcW w:w="1317" w:type="dxa"/>
          </w:tcPr>
          <w:p w14:paraId="7AA27DE1" w14:textId="792A7DE8" w:rsidR="002B15D1" w:rsidRPr="002B15D1" w:rsidRDefault="005335A3">
            <w:pPr>
              <w:cnfStyle w:val="000000010000" w:firstRow="0" w:lastRow="0" w:firstColumn="0" w:lastColumn="0" w:oddVBand="0" w:evenVBand="0" w:oddHBand="0" w:evenHBand="1" w:firstRowFirstColumn="0" w:firstRowLastColumn="0" w:lastRowFirstColumn="0" w:lastRowLastColumn="0"/>
              <w:rPr>
                <w:rFonts w:ascii="Calibri" w:hAnsi="Calibri"/>
                <w:sz w:val="23"/>
                <w:szCs w:val="23"/>
              </w:rPr>
            </w:pPr>
            <w:r>
              <w:rPr>
                <w:rFonts w:ascii="Calibri" w:hAnsi="Calibri"/>
                <w:sz w:val="23"/>
                <w:szCs w:val="23"/>
              </w:rPr>
              <w:t xml:space="preserve">-Outcomes studied included </w:t>
            </w:r>
            <w:r w:rsidRPr="005335A3">
              <w:rPr>
                <w:rFonts w:ascii="Calibri" w:hAnsi="Calibri"/>
                <w:sz w:val="23"/>
                <w:szCs w:val="23"/>
              </w:rPr>
              <w:t>whether fracture risk increases upon treatment discontinuation, whether fracture rate remains stable or decreases upon treatment continuation, whether certain patient/treatment characteristics are associated with increased fracture risk upon d/c, and any adverse events that occur with long-term exposure</w:t>
            </w:r>
          </w:p>
        </w:tc>
        <w:tc>
          <w:tcPr>
            <w:tcW w:w="2609" w:type="dxa"/>
          </w:tcPr>
          <w:p w14:paraId="3F8737DF" w14:textId="77777777" w:rsidR="002B15D1" w:rsidRDefault="005335A3">
            <w:pPr>
              <w:cnfStyle w:val="000000010000" w:firstRow="0" w:lastRow="0" w:firstColumn="0" w:lastColumn="0" w:oddVBand="0" w:evenVBand="0" w:oddHBand="0" w:evenHBand="1" w:firstRowFirstColumn="0" w:firstRowLastColumn="0" w:lastRowFirstColumn="0" w:lastRowLastColumn="0"/>
              <w:rPr>
                <w:rFonts w:ascii="Calibri" w:hAnsi="Calibri"/>
                <w:sz w:val="23"/>
                <w:szCs w:val="23"/>
              </w:rPr>
            </w:pPr>
            <w:r>
              <w:rPr>
                <w:rFonts w:ascii="Calibri" w:hAnsi="Calibri"/>
                <w:sz w:val="23"/>
                <w:szCs w:val="23"/>
              </w:rPr>
              <w:t>-</w:t>
            </w:r>
            <w:r>
              <w:t xml:space="preserve"> </w:t>
            </w:r>
            <w:r w:rsidRPr="005335A3">
              <w:rPr>
                <w:rFonts w:ascii="Calibri" w:hAnsi="Calibri"/>
                <w:sz w:val="23"/>
                <w:szCs w:val="23"/>
              </w:rPr>
              <w:t>This systematic review aims to review available literature to summarize whether to continue or discontinue long-term bisphosphonate treatment</w:t>
            </w:r>
          </w:p>
          <w:p w14:paraId="7AFC85CD" w14:textId="77777777" w:rsidR="005335A3" w:rsidRDefault="005335A3">
            <w:pPr>
              <w:cnfStyle w:val="000000010000" w:firstRow="0" w:lastRow="0" w:firstColumn="0" w:lastColumn="0" w:oddVBand="0" w:evenVBand="0" w:oddHBand="0" w:evenHBand="1" w:firstRowFirstColumn="0" w:firstRowLastColumn="0" w:lastRowFirstColumn="0" w:lastRowLastColumn="0"/>
              <w:rPr>
                <w:rFonts w:ascii="Calibri" w:hAnsi="Calibri"/>
                <w:sz w:val="23"/>
                <w:szCs w:val="23"/>
              </w:rPr>
            </w:pPr>
            <w:r>
              <w:rPr>
                <w:rFonts w:ascii="Calibri" w:hAnsi="Calibri"/>
                <w:sz w:val="23"/>
                <w:szCs w:val="23"/>
              </w:rPr>
              <w:t>-</w:t>
            </w:r>
            <w:r w:rsidRPr="005335A3">
              <w:rPr>
                <w:rFonts w:ascii="Calibri" w:hAnsi="Calibri" w:hint="eastAsia"/>
                <w:sz w:val="23"/>
                <w:szCs w:val="23"/>
              </w:rPr>
              <w:t>Currently, the risks of interrupting osteoporosis therapy are poorly studied, in part due to the large proportion of patients that remain at high fra</w:t>
            </w:r>
            <w:r>
              <w:rPr>
                <w:rFonts w:ascii="Calibri" w:hAnsi="Calibri" w:hint="eastAsia"/>
                <w:sz w:val="23"/>
                <w:szCs w:val="23"/>
              </w:rPr>
              <w:t>cture risk 5 years post-therapy</w:t>
            </w:r>
          </w:p>
          <w:p w14:paraId="4FDC7385" w14:textId="77777777" w:rsidR="005335A3" w:rsidRDefault="005335A3">
            <w:pPr>
              <w:cnfStyle w:val="000000010000" w:firstRow="0" w:lastRow="0" w:firstColumn="0" w:lastColumn="0" w:oddVBand="0" w:evenVBand="0" w:oddHBand="0" w:evenHBand="1" w:firstRowFirstColumn="0" w:firstRowLastColumn="0" w:lastRowFirstColumn="0" w:lastRowLastColumn="0"/>
              <w:rPr>
                <w:rFonts w:ascii="Calibri" w:hAnsi="Calibri"/>
                <w:sz w:val="23"/>
                <w:szCs w:val="23"/>
              </w:rPr>
            </w:pPr>
            <w:r>
              <w:rPr>
                <w:rFonts w:ascii="Calibri" w:hAnsi="Calibri"/>
                <w:sz w:val="23"/>
                <w:szCs w:val="23"/>
              </w:rPr>
              <w:t>-</w:t>
            </w:r>
            <w:r w:rsidRPr="005335A3">
              <w:rPr>
                <w:rFonts w:ascii="Calibri" w:hAnsi="Calibri" w:hint="eastAsia"/>
                <w:sz w:val="23"/>
                <w:szCs w:val="23"/>
              </w:rPr>
              <w:t>The decision to stop bisphosphonate use should take into consideration the clinical risk factors that determine risk o</w:t>
            </w:r>
            <w:r>
              <w:rPr>
                <w:rFonts w:ascii="Calibri" w:hAnsi="Calibri" w:hint="eastAsia"/>
                <w:sz w:val="23"/>
                <w:szCs w:val="23"/>
              </w:rPr>
              <w:t>f recurring fragility fractures</w:t>
            </w:r>
          </w:p>
          <w:p w14:paraId="7A05C440" w14:textId="77777777" w:rsidR="005335A3" w:rsidRDefault="005335A3">
            <w:pPr>
              <w:cnfStyle w:val="000000010000" w:firstRow="0" w:lastRow="0" w:firstColumn="0" w:lastColumn="0" w:oddVBand="0" w:evenVBand="0" w:oddHBand="0" w:evenHBand="1" w:firstRowFirstColumn="0" w:firstRowLastColumn="0" w:lastRowFirstColumn="0" w:lastRowLastColumn="0"/>
              <w:rPr>
                <w:rFonts w:ascii="Calibri" w:hAnsi="Calibri"/>
                <w:sz w:val="23"/>
                <w:szCs w:val="23"/>
              </w:rPr>
            </w:pPr>
            <w:r>
              <w:rPr>
                <w:rFonts w:ascii="Calibri" w:hAnsi="Calibri"/>
                <w:sz w:val="23"/>
                <w:szCs w:val="23"/>
              </w:rPr>
              <w:t>-</w:t>
            </w:r>
            <w:r>
              <w:rPr>
                <w:rFonts w:ascii="Calibri" w:hAnsi="Calibri" w:hint="eastAsia"/>
                <w:sz w:val="23"/>
                <w:szCs w:val="23"/>
              </w:rPr>
              <w:t>It is important</w:t>
            </w:r>
            <w:r w:rsidRPr="005335A3">
              <w:rPr>
                <w:rFonts w:ascii="Calibri" w:hAnsi="Calibri" w:hint="eastAsia"/>
                <w:sz w:val="23"/>
                <w:szCs w:val="23"/>
              </w:rPr>
              <w:t xml:space="preserve"> to continue therapy among women with high risk of fracture due to increased fracture i</w:t>
            </w:r>
            <w:r>
              <w:rPr>
                <w:rFonts w:ascii="Calibri" w:hAnsi="Calibri" w:hint="eastAsia"/>
                <w:sz w:val="23"/>
                <w:szCs w:val="23"/>
              </w:rPr>
              <w:t>ncidence after stopping therapy</w:t>
            </w:r>
          </w:p>
          <w:p w14:paraId="48A5EF52" w14:textId="77777777" w:rsidR="005335A3" w:rsidRDefault="005335A3">
            <w:pPr>
              <w:cnfStyle w:val="000000010000" w:firstRow="0" w:lastRow="0" w:firstColumn="0" w:lastColumn="0" w:oddVBand="0" w:evenVBand="0" w:oddHBand="0" w:evenHBand="1" w:firstRowFirstColumn="0" w:firstRowLastColumn="0" w:lastRowFirstColumn="0" w:lastRowLastColumn="0"/>
              <w:rPr>
                <w:rFonts w:ascii="Calibri" w:hAnsi="Calibri"/>
                <w:sz w:val="23"/>
                <w:szCs w:val="23"/>
              </w:rPr>
            </w:pPr>
            <w:r>
              <w:rPr>
                <w:rFonts w:ascii="Calibri" w:hAnsi="Calibri"/>
                <w:sz w:val="23"/>
                <w:szCs w:val="23"/>
              </w:rPr>
              <w:t>-</w:t>
            </w:r>
            <w:r w:rsidRPr="005335A3">
              <w:rPr>
                <w:rFonts w:ascii="Calibri" w:hAnsi="Calibri" w:hint="eastAsia"/>
                <w:sz w:val="23"/>
                <w:szCs w:val="23"/>
              </w:rPr>
              <w:t>Despite these recommendations, over 50% of patients will stop therapy after 2 years and most providers stop such therapy after 3-5 years due to risk of developing atypical femoral fractu</w:t>
            </w:r>
            <w:r>
              <w:rPr>
                <w:rFonts w:ascii="Calibri" w:hAnsi="Calibri" w:hint="eastAsia"/>
                <w:sz w:val="23"/>
                <w:szCs w:val="23"/>
              </w:rPr>
              <w:t>re and osteonecrosis of the jaw</w:t>
            </w:r>
          </w:p>
          <w:p w14:paraId="7199124E" w14:textId="77777777" w:rsidR="005335A3" w:rsidRDefault="005335A3">
            <w:pPr>
              <w:cnfStyle w:val="000000010000" w:firstRow="0" w:lastRow="0" w:firstColumn="0" w:lastColumn="0" w:oddVBand="0" w:evenVBand="0" w:oddHBand="0" w:evenHBand="1" w:firstRowFirstColumn="0" w:firstRowLastColumn="0" w:lastRowFirstColumn="0" w:lastRowLastColumn="0"/>
              <w:rPr>
                <w:rFonts w:ascii="Calibri" w:hAnsi="Calibri"/>
                <w:sz w:val="23"/>
                <w:szCs w:val="23"/>
              </w:rPr>
            </w:pPr>
            <w:r>
              <w:rPr>
                <w:rFonts w:ascii="Calibri" w:hAnsi="Calibri" w:hint="eastAsia"/>
                <w:sz w:val="23"/>
                <w:szCs w:val="23"/>
              </w:rPr>
              <w:t>-</w:t>
            </w:r>
            <w:r w:rsidRPr="005335A3">
              <w:rPr>
                <w:rFonts w:ascii="Calibri" w:hAnsi="Calibri" w:hint="eastAsia"/>
                <w:sz w:val="23"/>
                <w:szCs w:val="23"/>
              </w:rPr>
              <w:t xml:space="preserve">However, this risk remains less than 1/1000 patients in those treated for </w:t>
            </w:r>
            <w:r>
              <w:rPr>
                <w:rFonts w:ascii="Calibri" w:hAnsi="Calibri" w:hint="eastAsia"/>
                <w:sz w:val="23"/>
                <w:szCs w:val="23"/>
              </w:rPr>
              <w:t>up to 10 years</w:t>
            </w:r>
          </w:p>
          <w:p w14:paraId="46C4133B" w14:textId="3BB0348A" w:rsidR="005335A3" w:rsidRPr="002B15D1" w:rsidRDefault="005335A3">
            <w:pPr>
              <w:cnfStyle w:val="000000010000" w:firstRow="0" w:lastRow="0" w:firstColumn="0" w:lastColumn="0" w:oddVBand="0" w:evenVBand="0" w:oddHBand="0" w:evenHBand="1" w:firstRowFirstColumn="0" w:firstRowLastColumn="0" w:lastRowFirstColumn="0" w:lastRowLastColumn="0"/>
              <w:rPr>
                <w:rFonts w:ascii="Calibri" w:hAnsi="Calibri"/>
                <w:sz w:val="23"/>
                <w:szCs w:val="23"/>
              </w:rPr>
            </w:pPr>
            <w:r>
              <w:rPr>
                <w:rFonts w:ascii="Calibri" w:hAnsi="Calibri"/>
                <w:sz w:val="23"/>
                <w:szCs w:val="23"/>
              </w:rPr>
              <w:t>-</w:t>
            </w:r>
            <w:r w:rsidRPr="005335A3">
              <w:rPr>
                <w:rFonts w:ascii="Calibri" w:hAnsi="Calibri" w:hint="eastAsia"/>
                <w:sz w:val="23"/>
                <w:szCs w:val="23"/>
              </w:rPr>
              <w:t xml:space="preserve">Risk of hip, </w:t>
            </w:r>
            <w:proofErr w:type="spellStart"/>
            <w:r w:rsidRPr="005335A3">
              <w:rPr>
                <w:rFonts w:ascii="Calibri" w:hAnsi="Calibri" w:hint="eastAsia"/>
                <w:sz w:val="23"/>
                <w:szCs w:val="23"/>
              </w:rPr>
              <w:t>subtrochanteric</w:t>
            </w:r>
            <w:proofErr w:type="spellEnd"/>
            <w:r w:rsidRPr="005335A3">
              <w:rPr>
                <w:rFonts w:ascii="Calibri" w:hAnsi="Calibri" w:hint="eastAsia"/>
                <w:sz w:val="23"/>
                <w:szCs w:val="23"/>
              </w:rPr>
              <w:t xml:space="preserve"> femur/femoral shaft fractures remain low as well</w:t>
            </w:r>
          </w:p>
        </w:tc>
        <w:tc>
          <w:tcPr>
            <w:tcW w:w="1734" w:type="dxa"/>
          </w:tcPr>
          <w:p w14:paraId="1615AA90" w14:textId="77777777" w:rsidR="00F74AC1" w:rsidRDefault="001C621A" w:rsidP="00CC4053">
            <w:pPr>
              <w:cnfStyle w:val="000000010000" w:firstRow="0" w:lastRow="0" w:firstColumn="0" w:lastColumn="0" w:oddVBand="0" w:evenVBand="0" w:oddHBand="0" w:evenHBand="1" w:firstRowFirstColumn="0" w:firstRowLastColumn="0" w:lastRowFirstColumn="0" w:lastRowLastColumn="0"/>
              <w:rPr>
                <w:rFonts w:ascii="Calibri" w:hAnsi="Calibri"/>
                <w:sz w:val="23"/>
                <w:szCs w:val="23"/>
              </w:rPr>
            </w:pPr>
            <w:r>
              <w:rPr>
                <w:rFonts w:ascii="Calibri" w:hAnsi="Calibri"/>
                <w:sz w:val="23"/>
                <w:szCs w:val="23"/>
              </w:rPr>
              <w:t>-</w:t>
            </w:r>
            <w:r w:rsidR="00CC4053">
              <w:rPr>
                <w:rFonts w:ascii="Calibri" w:hAnsi="Calibri"/>
                <w:sz w:val="23"/>
                <w:szCs w:val="23"/>
              </w:rPr>
              <w:t>Observational studies by nature are limited by contradicting observations and reporting bias</w:t>
            </w:r>
          </w:p>
          <w:p w14:paraId="1881E0BD" w14:textId="77777777" w:rsidR="00F74AC1" w:rsidRDefault="00F74AC1" w:rsidP="00CC4053">
            <w:pPr>
              <w:cnfStyle w:val="000000010000" w:firstRow="0" w:lastRow="0" w:firstColumn="0" w:lastColumn="0" w:oddVBand="0" w:evenVBand="0" w:oddHBand="0" w:evenHBand="1" w:firstRowFirstColumn="0" w:firstRowLastColumn="0" w:lastRowFirstColumn="0" w:lastRowLastColumn="0"/>
              <w:rPr>
                <w:rFonts w:ascii="Calibri" w:hAnsi="Calibri"/>
                <w:sz w:val="23"/>
                <w:szCs w:val="23"/>
              </w:rPr>
            </w:pPr>
            <w:r>
              <w:rPr>
                <w:rFonts w:ascii="Calibri" w:hAnsi="Calibri"/>
                <w:sz w:val="23"/>
                <w:szCs w:val="23"/>
              </w:rPr>
              <w:t>-There is a lack of clinical trial data particularly in subgroups such as those of different ethnicities or steroid-induced osteoporosis</w:t>
            </w:r>
          </w:p>
          <w:p w14:paraId="6B2286E3" w14:textId="35BB46FC" w:rsidR="002B15D1" w:rsidRPr="002B15D1" w:rsidRDefault="00F74AC1" w:rsidP="00CC4053">
            <w:pPr>
              <w:cnfStyle w:val="000000010000" w:firstRow="0" w:lastRow="0" w:firstColumn="0" w:lastColumn="0" w:oddVBand="0" w:evenVBand="0" w:oddHBand="0" w:evenHBand="1" w:firstRowFirstColumn="0" w:firstRowLastColumn="0" w:lastRowFirstColumn="0" w:lastRowLastColumn="0"/>
              <w:rPr>
                <w:rFonts w:ascii="Calibri" w:hAnsi="Calibri"/>
                <w:sz w:val="23"/>
                <w:szCs w:val="23"/>
              </w:rPr>
            </w:pPr>
            <w:r>
              <w:rPr>
                <w:rFonts w:ascii="Calibri" w:hAnsi="Calibri"/>
                <w:sz w:val="23"/>
                <w:szCs w:val="23"/>
              </w:rPr>
              <w:t>-This study was funded by an unrestricted grant from the MSD, which is a pharmaceutical company</w:t>
            </w:r>
            <w:r w:rsidR="00CC4053">
              <w:rPr>
                <w:rFonts w:ascii="Calibri" w:hAnsi="Calibri"/>
                <w:sz w:val="23"/>
                <w:szCs w:val="23"/>
              </w:rPr>
              <w:t xml:space="preserve"> </w:t>
            </w:r>
          </w:p>
        </w:tc>
      </w:tr>
      <w:tr w:rsidR="009B28D0" w14:paraId="4B96D7A9" w14:textId="77777777" w:rsidTr="00484F40">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184" w:type="dxa"/>
          </w:tcPr>
          <w:p w14:paraId="08D3D35B" w14:textId="2E67500D" w:rsidR="002B15D1" w:rsidRPr="002B15D1" w:rsidRDefault="002B3BAF">
            <w:pPr>
              <w:rPr>
                <w:rFonts w:ascii="Calibri" w:hAnsi="Calibri"/>
                <w:sz w:val="23"/>
                <w:szCs w:val="23"/>
              </w:rPr>
            </w:pPr>
            <w:proofErr w:type="spellStart"/>
            <w:r>
              <w:rPr>
                <w:rFonts w:ascii="Calibri" w:hAnsi="Calibri"/>
                <w:sz w:val="23"/>
                <w:szCs w:val="23"/>
              </w:rPr>
              <w:t>Nayak</w:t>
            </w:r>
            <w:proofErr w:type="spellEnd"/>
            <w:r>
              <w:rPr>
                <w:rFonts w:ascii="Calibri" w:hAnsi="Calibri"/>
                <w:sz w:val="23"/>
                <w:szCs w:val="23"/>
              </w:rPr>
              <w:t xml:space="preserve">, et al., </w:t>
            </w:r>
            <w:r w:rsidR="00C21C81">
              <w:rPr>
                <w:rFonts w:ascii="Calibri" w:hAnsi="Calibri"/>
                <w:sz w:val="23"/>
                <w:szCs w:val="23"/>
              </w:rPr>
              <w:t>201</w:t>
            </w:r>
            <w:r>
              <w:rPr>
                <w:rFonts w:ascii="Calibri" w:hAnsi="Calibri"/>
                <w:sz w:val="23"/>
                <w:szCs w:val="23"/>
              </w:rPr>
              <w:t>9</w:t>
            </w:r>
          </w:p>
        </w:tc>
        <w:tc>
          <w:tcPr>
            <w:tcW w:w="1233" w:type="dxa"/>
          </w:tcPr>
          <w:p w14:paraId="27214D93" w14:textId="77777777" w:rsidR="00D61104" w:rsidRDefault="00D61104">
            <w:pPr>
              <w:cnfStyle w:val="000000100000" w:firstRow="0" w:lastRow="0" w:firstColumn="0" w:lastColumn="0" w:oddVBand="0" w:evenVBand="0" w:oddHBand="1" w:evenHBand="0" w:firstRowFirstColumn="0" w:firstRowLastColumn="0" w:lastRowFirstColumn="0" w:lastRowLastColumn="0"/>
              <w:rPr>
                <w:rFonts w:ascii="Calibri" w:hAnsi="Calibri"/>
                <w:sz w:val="23"/>
                <w:szCs w:val="23"/>
              </w:rPr>
            </w:pPr>
            <w:r>
              <w:rPr>
                <w:rFonts w:ascii="Calibri" w:hAnsi="Calibri"/>
                <w:sz w:val="23"/>
                <w:szCs w:val="23"/>
              </w:rPr>
              <w:t>Meta-analysis/</w:t>
            </w:r>
          </w:p>
          <w:p w14:paraId="415FF5AB" w14:textId="4C76CF13" w:rsidR="002B15D1" w:rsidRPr="002B15D1" w:rsidRDefault="002B3BAF">
            <w:pPr>
              <w:cnfStyle w:val="000000100000" w:firstRow="0" w:lastRow="0" w:firstColumn="0" w:lastColumn="0" w:oddVBand="0" w:evenVBand="0" w:oddHBand="1" w:evenHBand="0" w:firstRowFirstColumn="0" w:firstRowLastColumn="0" w:lastRowFirstColumn="0" w:lastRowLastColumn="0"/>
              <w:rPr>
                <w:rFonts w:ascii="Calibri" w:hAnsi="Calibri"/>
                <w:sz w:val="23"/>
                <w:szCs w:val="23"/>
              </w:rPr>
            </w:pPr>
            <w:r>
              <w:rPr>
                <w:rFonts w:ascii="Calibri" w:hAnsi="Calibri"/>
                <w:sz w:val="23"/>
                <w:szCs w:val="23"/>
              </w:rPr>
              <w:t>Systematic review</w:t>
            </w:r>
          </w:p>
        </w:tc>
        <w:tc>
          <w:tcPr>
            <w:tcW w:w="1737" w:type="dxa"/>
          </w:tcPr>
          <w:p w14:paraId="19607006" w14:textId="158A137F" w:rsidR="002B15D1" w:rsidRPr="002B15D1" w:rsidRDefault="00D61104">
            <w:pPr>
              <w:cnfStyle w:val="000000100000" w:firstRow="0" w:lastRow="0" w:firstColumn="0" w:lastColumn="0" w:oddVBand="0" w:evenVBand="0" w:oddHBand="1" w:evenHBand="0" w:firstRowFirstColumn="0" w:firstRowLastColumn="0" w:lastRowFirstColumn="0" w:lastRowLastColumn="0"/>
              <w:rPr>
                <w:rFonts w:ascii="Calibri" w:hAnsi="Calibri"/>
                <w:sz w:val="23"/>
                <w:szCs w:val="23"/>
              </w:rPr>
            </w:pPr>
            <w:r>
              <w:rPr>
                <w:rFonts w:ascii="Calibri" w:hAnsi="Calibri"/>
                <w:sz w:val="23"/>
                <w:szCs w:val="23"/>
              </w:rPr>
              <w:t>-</w:t>
            </w:r>
            <w:r w:rsidR="00E83F74">
              <w:rPr>
                <w:rFonts w:ascii="Calibri" w:hAnsi="Calibri"/>
                <w:sz w:val="23"/>
                <w:szCs w:val="23"/>
              </w:rPr>
              <w:t xml:space="preserve">Databases used include </w:t>
            </w:r>
            <w:proofErr w:type="spellStart"/>
            <w:r w:rsidR="00342821">
              <w:rPr>
                <w:rFonts w:ascii="Calibri" w:hAnsi="Calibri"/>
                <w:sz w:val="23"/>
                <w:szCs w:val="23"/>
              </w:rPr>
              <w:t>Pubmed</w:t>
            </w:r>
            <w:proofErr w:type="spellEnd"/>
            <w:r w:rsidR="00342821">
              <w:rPr>
                <w:rFonts w:ascii="Calibri" w:hAnsi="Calibri"/>
                <w:sz w:val="23"/>
                <w:szCs w:val="23"/>
              </w:rPr>
              <w:t>, EMBASE, Cochrane Library to evaluate RCTs and cohort studies, with final inclusion of 8 studies</w:t>
            </w:r>
          </w:p>
        </w:tc>
        <w:tc>
          <w:tcPr>
            <w:tcW w:w="1317" w:type="dxa"/>
          </w:tcPr>
          <w:p w14:paraId="23B653EC" w14:textId="6F4882FD" w:rsidR="00342821" w:rsidRPr="002B15D1" w:rsidRDefault="00342821">
            <w:pPr>
              <w:cnfStyle w:val="000000100000" w:firstRow="0" w:lastRow="0" w:firstColumn="0" w:lastColumn="0" w:oddVBand="0" w:evenVBand="0" w:oddHBand="1" w:evenHBand="0" w:firstRowFirstColumn="0" w:firstRowLastColumn="0" w:lastRowFirstColumn="0" w:lastRowLastColumn="0"/>
              <w:rPr>
                <w:rFonts w:ascii="Calibri" w:hAnsi="Calibri"/>
                <w:sz w:val="23"/>
                <w:szCs w:val="23"/>
              </w:rPr>
            </w:pPr>
            <w:r>
              <w:rPr>
                <w:rFonts w:ascii="Calibri" w:hAnsi="Calibri"/>
                <w:sz w:val="23"/>
                <w:szCs w:val="23"/>
              </w:rPr>
              <w:t>-Outcomes studied included evaluating the effect of drug holiday or bisphosphonate discontinuation vs. osteoporosis treatment continuation with particular focus to clinical osteoporotic fractures</w:t>
            </w:r>
          </w:p>
        </w:tc>
        <w:tc>
          <w:tcPr>
            <w:tcW w:w="2609" w:type="dxa"/>
          </w:tcPr>
          <w:p w14:paraId="7DE45EFA" w14:textId="77777777" w:rsidR="002B15D1" w:rsidRDefault="00342821">
            <w:pPr>
              <w:cnfStyle w:val="000000100000" w:firstRow="0" w:lastRow="0" w:firstColumn="0" w:lastColumn="0" w:oddVBand="0" w:evenVBand="0" w:oddHBand="1" w:evenHBand="0" w:firstRowFirstColumn="0" w:firstRowLastColumn="0" w:lastRowFirstColumn="0" w:lastRowLastColumn="0"/>
              <w:rPr>
                <w:rFonts w:ascii="Calibri" w:hAnsi="Calibri"/>
                <w:sz w:val="23"/>
                <w:szCs w:val="23"/>
              </w:rPr>
            </w:pPr>
            <w:r>
              <w:rPr>
                <w:rFonts w:ascii="Calibri" w:hAnsi="Calibri"/>
                <w:sz w:val="23"/>
                <w:szCs w:val="23"/>
              </w:rPr>
              <w:t>-The purpose of this study was to review the effect of drug holidays on bone mineral density and fracture risk</w:t>
            </w:r>
          </w:p>
          <w:p w14:paraId="160F3D58" w14:textId="327CF127" w:rsidR="00342821" w:rsidRDefault="00342821">
            <w:pPr>
              <w:cnfStyle w:val="000000100000" w:firstRow="0" w:lastRow="0" w:firstColumn="0" w:lastColumn="0" w:oddVBand="0" w:evenVBand="0" w:oddHBand="1" w:evenHBand="0" w:firstRowFirstColumn="0" w:firstRowLastColumn="0" w:lastRowFirstColumn="0" w:lastRowLastColumn="0"/>
              <w:rPr>
                <w:rFonts w:ascii="Calibri" w:hAnsi="Calibri"/>
                <w:sz w:val="23"/>
                <w:szCs w:val="23"/>
              </w:rPr>
            </w:pPr>
            <w:r>
              <w:rPr>
                <w:rFonts w:ascii="Calibri" w:hAnsi="Calibri"/>
                <w:sz w:val="23"/>
                <w:szCs w:val="23"/>
              </w:rPr>
              <w:t>-</w:t>
            </w:r>
            <w:r w:rsidR="00AE022D">
              <w:rPr>
                <w:rFonts w:ascii="Calibri" w:hAnsi="Calibri"/>
                <w:sz w:val="23"/>
                <w:szCs w:val="23"/>
              </w:rPr>
              <w:t>There is no significant difference in risk of hip fracture/any clinical fracture in patients who d/c bisphosphonate use to persistent users</w:t>
            </w:r>
            <w:r w:rsidR="00F41B8D">
              <w:rPr>
                <w:rFonts w:ascii="Calibri" w:hAnsi="Calibri"/>
                <w:sz w:val="23"/>
                <w:szCs w:val="23"/>
              </w:rPr>
              <w:t xml:space="preserve"> after 3 years </w:t>
            </w:r>
          </w:p>
          <w:p w14:paraId="32CE778C" w14:textId="77777777" w:rsidR="00AE022D" w:rsidRDefault="00AE022D">
            <w:pPr>
              <w:cnfStyle w:val="000000100000" w:firstRow="0" w:lastRow="0" w:firstColumn="0" w:lastColumn="0" w:oddVBand="0" w:evenVBand="0" w:oddHBand="1" w:evenHBand="0" w:firstRowFirstColumn="0" w:firstRowLastColumn="0" w:lastRowFirstColumn="0" w:lastRowLastColumn="0"/>
              <w:rPr>
                <w:rFonts w:ascii="Calibri" w:hAnsi="Calibri"/>
                <w:sz w:val="23"/>
                <w:szCs w:val="23"/>
              </w:rPr>
            </w:pPr>
            <w:r>
              <w:rPr>
                <w:rFonts w:ascii="Calibri" w:hAnsi="Calibri"/>
                <w:sz w:val="23"/>
                <w:szCs w:val="23"/>
              </w:rPr>
              <w:t>-</w:t>
            </w:r>
            <w:r w:rsidR="002B5763">
              <w:rPr>
                <w:rFonts w:ascii="Calibri" w:hAnsi="Calibri"/>
                <w:sz w:val="23"/>
                <w:szCs w:val="23"/>
              </w:rPr>
              <w:t xml:space="preserve">For high risk patients, there is reduced risk of clinical vertebral fracture with 10 years of therapy with alendronate (as compared to 5), and reduced risk of morphometric vertebral fracture with 6 years of therapy with </w:t>
            </w:r>
            <w:proofErr w:type="spellStart"/>
            <w:r w:rsidR="002B5763">
              <w:rPr>
                <w:rFonts w:ascii="Calibri" w:hAnsi="Calibri"/>
                <w:sz w:val="23"/>
                <w:szCs w:val="23"/>
              </w:rPr>
              <w:t>zoledronic</w:t>
            </w:r>
            <w:proofErr w:type="spellEnd"/>
            <w:r w:rsidR="002B5763">
              <w:rPr>
                <w:rFonts w:ascii="Calibri" w:hAnsi="Calibri"/>
                <w:sz w:val="23"/>
                <w:szCs w:val="23"/>
              </w:rPr>
              <w:t xml:space="preserve"> acid (as compared to 3)</w:t>
            </w:r>
          </w:p>
          <w:p w14:paraId="24BE51FD" w14:textId="35CD080F" w:rsidR="002B5763" w:rsidRPr="002B15D1" w:rsidRDefault="002B5763">
            <w:pPr>
              <w:cnfStyle w:val="000000100000" w:firstRow="0" w:lastRow="0" w:firstColumn="0" w:lastColumn="0" w:oddVBand="0" w:evenVBand="0" w:oddHBand="1" w:evenHBand="0" w:firstRowFirstColumn="0" w:firstRowLastColumn="0" w:lastRowFirstColumn="0" w:lastRowLastColumn="0"/>
              <w:rPr>
                <w:rFonts w:ascii="Calibri" w:hAnsi="Calibri"/>
                <w:sz w:val="23"/>
                <w:szCs w:val="23"/>
              </w:rPr>
            </w:pPr>
            <w:r>
              <w:rPr>
                <w:rFonts w:ascii="Calibri" w:hAnsi="Calibri"/>
                <w:sz w:val="23"/>
                <w:szCs w:val="23"/>
              </w:rPr>
              <w:t>-Ideal length of bisphosphonate use should be based on T-score, age, and other risks</w:t>
            </w:r>
          </w:p>
        </w:tc>
        <w:tc>
          <w:tcPr>
            <w:tcW w:w="1734" w:type="dxa"/>
          </w:tcPr>
          <w:p w14:paraId="7E3C3231" w14:textId="77777777" w:rsidR="002B15D1" w:rsidRDefault="00F41B8D">
            <w:pPr>
              <w:cnfStyle w:val="000000100000" w:firstRow="0" w:lastRow="0" w:firstColumn="0" w:lastColumn="0" w:oddVBand="0" w:evenVBand="0" w:oddHBand="1" w:evenHBand="0" w:firstRowFirstColumn="0" w:firstRowLastColumn="0" w:lastRowFirstColumn="0" w:lastRowLastColumn="0"/>
              <w:rPr>
                <w:rFonts w:ascii="Calibri" w:hAnsi="Calibri"/>
                <w:sz w:val="23"/>
                <w:szCs w:val="23"/>
              </w:rPr>
            </w:pPr>
            <w:r>
              <w:rPr>
                <w:rFonts w:ascii="Calibri" w:hAnsi="Calibri"/>
                <w:sz w:val="23"/>
                <w:szCs w:val="23"/>
              </w:rPr>
              <w:t>-Number of studies included could be larger</w:t>
            </w:r>
          </w:p>
          <w:p w14:paraId="511BC437" w14:textId="77777777" w:rsidR="00F41B8D" w:rsidRDefault="00F41B8D">
            <w:pPr>
              <w:cnfStyle w:val="000000100000" w:firstRow="0" w:lastRow="0" w:firstColumn="0" w:lastColumn="0" w:oddVBand="0" w:evenVBand="0" w:oddHBand="1" w:evenHBand="0" w:firstRowFirstColumn="0" w:firstRowLastColumn="0" w:lastRowFirstColumn="0" w:lastRowLastColumn="0"/>
              <w:rPr>
                <w:rFonts w:ascii="Calibri" w:hAnsi="Calibri"/>
                <w:sz w:val="23"/>
                <w:szCs w:val="23"/>
              </w:rPr>
            </w:pPr>
            <w:r>
              <w:rPr>
                <w:rFonts w:ascii="Calibri" w:hAnsi="Calibri"/>
                <w:sz w:val="23"/>
                <w:szCs w:val="23"/>
              </w:rPr>
              <w:t>-Several of the RCTs included had relatively smaller sample sizes</w:t>
            </w:r>
          </w:p>
          <w:p w14:paraId="345C14CD" w14:textId="726464CD" w:rsidR="00F41B8D" w:rsidRPr="002B15D1" w:rsidRDefault="00F41B8D">
            <w:pPr>
              <w:cnfStyle w:val="000000100000" w:firstRow="0" w:lastRow="0" w:firstColumn="0" w:lastColumn="0" w:oddVBand="0" w:evenVBand="0" w:oddHBand="1" w:evenHBand="0" w:firstRowFirstColumn="0" w:firstRowLastColumn="0" w:lastRowFirstColumn="0" w:lastRowLastColumn="0"/>
              <w:rPr>
                <w:rFonts w:ascii="Calibri" w:hAnsi="Calibri"/>
                <w:sz w:val="23"/>
                <w:szCs w:val="23"/>
              </w:rPr>
            </w:pPr>
            <w:r>
              <w:rPr>
                <w:rFonts w:ascii="Calibri" w:hAnsi="Calibri"/>
                <w:sz w:val="23"/>
                <w:szCs w:val="23"/>
              </w:rPr>
              <w:t xml:space="preserve">-The majority of the studies evaluated alendronate, thus conclusions may not be generalizable to other </w:t>
            </w:r>
            <w:r w:rsidR="002B5763">
              <w:rPr>
                <w:rFonts w:ascii="Calibri" w:hAnsi="Calibri"/>
                <w:sz w:val="23"/>
                <w:szCs w:val="23"/>
              </w:rPr>
              <w:t>bisphosphonates</w:t>
            </w:r>
          </w:p>
        </w:tc>
      </w:tr>
      <w:tr w:rsidR="009B28D0" w14:paraId="5F3051D3" w14:textId="77777777" w:rsidTr="00484F40">
        <w:trPr>
          <w:cnfStyle w:val="000000010000" w:firstRow="0" w:lastRow="0" w:firstColumn="0" w:lastColumn="0" w:oddVBand="0" w:evenVBand="0" w:oddHBand="0" w:evenHBand="1"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184" w:type="dxa"/>
          </w:tcPr>
          <w:p w14:paraId="74DC4A67" w14:textId="314353D7" w:rsidR="002B15D1" w:rsidRPr="002B15D1" w:rsidRDefault="00725A77">
            <w:pPr>
              <w:rPr>
                <w:rFonts w:ascii="Calibri" w:hAnsi="Calibri"/>
                <w:sz w:val="23"/>
                <w:szCs w:val="23"/>
              </w:rPr>
            </w:pPr>
            <w:r>
              <w:rPr>
                <w:rFonts w:ascii="Calibri" w:hAnsi="Calibri"/>
                <w:sz w:val="23"/>
                <w:szCs w:val="23"/>
              </w:rPr>
              <w:t>Erikson, et al., 2014</w:t>
            </w:r>
          </w:p>
        </w:tc>
        <w:tc>
          <w:tcPr>
            <w:tcW w:w="1233" w:type="dxa"/>
          </w:tcPr>
          <w:p w14:paraId="4FF300BE" w14:textId="77777777" w:rsidR="00725A77" w:rsidRDefault="00725A77">
            <w:pPr>
              <w:cnfStyle w:val="000000010000" w:firstRow="0" w:lastRow="0" w:firstColumn="0" w:lastColumn="0" w:oddVBand="0" w:evenVBand="0" w:oddHBand="0" w:evenHBand="1" w:firstRowFirstColumn="0" w:firstRowLastColumn="0" w:lastRowFirstColumn="0" w:lastRowLastColumn="0"/>
              <w:rPr>
                <w:rFonts w:ascii="Calibri" w:hAnsi="Calibri"/>
                <w:sz w:val="23"/>
                <w:szCs w:val="23"/>
              </w:rPr>
            </w:pPr>
            <w:r>
              <w:rPr>
                <w:rFonts w:ascii="Calibri" w:hAnsi="Calibri"/>
                <w:sz w:val="23"/>
                <w:szCs w:val="23"/>
              </w:rPr>
              <w:t>Meta-analysis/</w:t>
            </w:r>
          </w:p>
          <w:p w14:paraId="421F53B8" w14:textId="29662DAD" w:rsidR="002B15D1" w:rsidRPr="002B15D1" w:rsidRDefault="00725A77">
            <w:pPr>
              <w:cnfStyle w:val="000000010000" w:firstRow="0" w:lastRow="0" w:firstColumn="0" w:lastColumn="0" w:oddVBand="0" w:evenVBand="0" w:oddHBand="0" w:evenHBand="1" w:firstRowFirstColumn="0" w:firstRowLastColumn="0" w:lastRowFirstColumn="0" w:lastRowLastColumn="0"/>
              <w:rPr>
                <w:rFonts w:ascii="Calibri" w:hAnsi="Calibri"/>
                <w:sz w:val="23"/>
                <w:szCs w:val="23"/>
              </w:rPr>
            </w:pPr>
            <w:r>
              <w:rPr>
                <w:rFonts w:ascii="Calibri" w:hAnsi="Calibri"/>
                <w:sz w:val="23"/>
                <w:szCs w:val="23"/>
              </w:rPr>
              <w:t>Systematic review</w:t>
            </w:r>
          </w:p>
        </w:tc>
        <w:tc>
          <w:tcPr>
            <w:tcW w:w="1737" w:type="dxa"/>
          </w:tcPr>
          <w:p w14:paraId="46DB8EE3" w14:textId="3F10141F" w:rsidR="002B15D1" w:rsidRPr="002B15D1" w:rsidRDefault="00E95637" w:rsidP="00333B54">
            <w:pPr>
              <w:cnfStyle w:val="000000010000" w:firstRow="0" w:lastRow="0" w:firstColumn="0" w:lastColumn="0" w:oddVBand="0" w:evenVBand="0" w:oddHBand="0" w:evenHBand="1" w:firstRowFirstColumn="0" w:firstRowLastColumn="0" w:lastRowFirstColumn="0" w:lastRowLastColumn="0"/>
              <w:rPr>
                <w:rFonts w:ascii="Calibri" w:hAnsi="Calibri"/>
                <w:sz w:val="23"/>
                <w:szCs w:val="23"/>
              </w:rPr>
            </w:pPr>
            <w:r>
              <w:rPr>
                <w:rFonts w:ascii="Calibri" w:hAnsi="Calibri"/>
                <w:sz w:val="23"/>
                <w:szCs w:val="23"/>
              </w:rPr>
              <w:t>-</w:t>
            </w:r>
            <w:r>
              <w:t xml:space="preserve"> </w:t>
            </w:r>
            <w:r w:rsidRPr="00E95637">
              <w:rPr>
                <w:rFonts w:ascii="Calibri" w:hAnsi="Calibri"/>
                <w:sz w:val="23"/>
                <w:szCs w:val="23"/>
              </w:rPr>
              <w:t>The main database used was PubMed, resulting in 107 studies screened with</w:t>
            </w:r>
            <w:r w:rsidR="00333B54">
              <w:rPr>
                <w:rFonts w:ascii="Calibri" w:hAnsi="Calibri"/>
                <w:sz w:val="23"/>
                <w:szCs w:val="23"/>
              </w:rPr>
              <w:t xml:space="preserve"> </w:t>
            </w:r>
            <w:r w:rsidR="00333B54" w:rsidRPr="00333B54">
              <w:rPr>
                <w:rFonts w:ascii="Calibri" w:hAnsi="Calibri"/>
                <w:sz w:val="23"/>
                <w:szCs w:val="23"/>
              </w:rPr>
              <w:t>using the search terms ‘bisphosphonate’, ‘postmenopausal osteoporosis’ and ‘long term’ and/or ‘extension’</w:t>
            </w:r>
            <w:r w:rsidR="00333B54">
              <w:rPr>
                <w:rFonts w:ascii="Calibri" w:hAnsi="Calibri"/>
                <w:sz w:val="23"/>
                <w:szCs w:val="23"/>
              </w:rPr>
              <w:t xml:space="preserve"> with </w:t>
            </w:r>
            <w:r w:rsidRPr="00E95637">
              <w:rPr>
                <w:rFonts w:ascii="Calibri" w:hAnsi="Calibri"/>
                <w:sz w:val="23"/>
                <w:szCs w:val="23"/>
              </w:rPr>
              <w:t xml:space="preserve">a total of 9 final </w:t>
            </w:r>
            <w:r w:rsidR="00333B54">
              <w:rPr>
                <w:rFonts w:ascii="Calibri" w:hAnsi="Calibri"/>
                <w:sz w:val="23"/>
                <w:szCs w:val="23"/>
              </w:rPr>
              <w:t>RCTs</w:t>
            </w:r>
          </w:p>
        </w:tc>
        <w:tc>
          <w:tcPr>
            <w:tcW w:w="1317" w:type="dxa"/>
          </w:tcPr>
          <w:p w14:paraId="70057A85" w14:textId="5EFF779B" w:rsidR="002B15D1" w:rsidRPr="002B15D1" w:rsidRDefault="00725A77">
            <w:pPr>
              <w:cnfStyle w:val="000000010000" w:firstRow="0" w:lastRow="0" w:firstColumn="0" w:lastColumn="0" w:oddVBand="0" w:evenVBand="0" w:oddHBand="0" w:evenHBand="1" w:firstRowFirstColumn="0" w:firstRowLastColumn="0" w:lastRowFirstColumn="0" w:lastRowLastColumn="0"/>
              <w:rPr>
                <w:rFonts w:ascii="Calibri" w:hAnsi="Calibri"/>
                <w:sz w:val="23"/>
                <w:szCs w:val="23"/>
              </w:rPr>
            </w:pPr>
            <w:r>
              <w:rPr>
                <w:rFonts w:ascii="Calibri" w:hAnsi="Calibri"/>
                <w:sz w:val="23"/>
                <w:szCs w:val="23"/>
              </w:rPr>
              <w:t>-</w:t>
            </w:r>
            <w:r>
              <w:t xml:space="preserve"> </w:t>
            </w:r>
            <w:r w:rsidRPr="00725A77">
              <w:rPr>
                <w:rFonts w:ascii="Calibri" w:hAnsi="Calibri"/>
                <w:sz w:val="23"/>
                <w:szCs w:val="23"/>
              </w:rPr>
              <w:t>Outcomes studied included long-term efficacy of bisphosphonates, fracture risk reduction with long-term bisphosphonate treatment, adverse effects</w:t>
            </w:r>
          </w:p>
        </w:tc>
        <w:tc>
          <w:tcPr>
            <w:tcW w:w="2609" w:type="dxa"/>
          </w:tcPr>
          <w:p w14:paraId="190028AF" w14:textId="77777777" w:rsidR="002B15D1" w:rsidRDefault="000D046F">
            <w:pPr>
              <w:cnfStyle w:val="000000010000" w:firstRow="0" w:lastRow="0" w:firstColumn="0" w:lastColumn="0" w:oddVBand="0" w:evenVBand="0" w:oddHBand="0" w:evenHBand="1" w:firstRowFirstColumn="0" w:firstRowLastColumn="0" w:lastRowFirstColumn="0" w:lastRowLastColumn="0"/>
              <w:rPr>
                <w:rFonts w:ascii="Calibri" w:hAnsi="Calibri"/>
                <w:sz w:val="23"/>
                <w:szCs w:val="23"/>
              </w:rPr>
            </w:pPr>
            <w:r>
              <w:rPr>
                <w:rFonts w:ascii="Calibri" w:hAnsi="Calibri"/>
                <w:sz w:val="23"/>
                <w:szCs w:val="23"/>
              </w:rPr>
              <w:t>-</w:t>
            </w:r>
            <w:r>
              <w:t xml:space="preserve"> </w:t>
            </w:r>
            <w:r w:rsidRPr="000D046F">
              <w:rPr>
                <w:rFonts w:ascii="Calibri" w:hAnsi="Calibri"/>
                <w:sz w:val="23"/>
                <w:szCs w:val="23"/>
              </w:rPr>
              <w:t>This is meta-analysis/systematic review that aims to evaluate long-term data bisphosphonate use in postmenopausal women with osteoporosis</w:t>
            </w:r>
          </w:p>
          <w:p w14:paraId="3B6E5931" w14:textId="77777777" w:rsidR="000D046F" w:rsidRDefault="000D046F">
            <w:pPr>
              <w:cnfStyle w:val="000000010000" w:firstRow="0" w:lastRow="0" w:firstColumn="0" w:lastColumn="0" w:oddVBand="0" w:evenVBand="0" w:oddHBand="0" w:evenHBand="1" w:firstRowFirstColumn="0" w:firstRowLastColumn="0" w:lastRowFirstColumn="0" w:lastRowLastColumn="0"/>
              <w:rPr>
                <w:rFonts w:ascii="Calibri" w:hAnsi="Calibri"/>
                <w:sz w:val="23"/>
                <w:szCs w:val="23"/>
              </w:rPr>
            </w:pPr>
            <w:r>
              <w:rPr>
                <w:rFonts w:ascii="Calibri" w:hAnsi="Calibri"/>
                <w:sz w:val="23"/>
                <w:szCs w:val="23"/>
              </w:rPr>
              <w:t>-</w:t>
            </w:r>
            <w:r w:rsidRPr="000D046F">
              <w:rPr>
                <w:rFonts w:ascii="Calibri" w:hAnsi="Calibri" w:hint="eastAsia"/>
                <w:sz w:val="23"/>
                <w:szCs w:val="23"/>
              </w:rPr>
              <w:t>Treatment continuation with alendronate beyond 3-5 years is associated with continued ve</w:t>
            </w:r>
            <w:r>
              <w:rPr>
                <w:rFonts w:ascii="Calibri" w:hAnsi="Calibri" w:hint="eastAsia"/>
                <w:sz w:val="23"/>
                <w:szCs w:val="23"/>
              </w:rPr>
              <w:t>rtebral fracture risk reduction</w:t>
            </w:r>
          </w:p>
          <w:p w14:paraId="630A27D3" w14:textId="77777777" w:rsidR="000D046F" w:rsidRDefault="000D046F">
            <w:pPr>
              <w:cnfStyle w:val="000000010000" w:firstRow="0" w:lastRow="0" w:firstColumn="0" w:lastColumn="0" w:oddVBand="0" w:evenVBand="0" w:oddHBand="0" w:evenHBand="1" w:firstRowFirstColumn="0" w:firstRowLastColumn="0" w:lastRowFirstColumn="0" w:lastRowLastColumn="0"/>
              <w:rPr>
                <w:rFonts w:ascii="Calibri" w:hAnsi="Calibri"/>
                <w:sz w:val="23"/>
                <w:szCs w:val="23"/>
              </w:rPr>
            </w:pPr>
            <w:r>
              <w:rPr>
                <w:rFonts w:ascii="Calibri" w:hAnsi="Calibri"/>
                <w:sz w:val="23"/>
                <w:szCs w:val="23"/>
              </w:rPr>
              <w:t>-</w:t>
            </w:r>
            <w:r w:rsidRPr="000D046F">
              <w:rPr>
                <w:rFonts w:ascii="Calibri" w:hAnsi="Calibri" w:hint="eastAsia"/>
                <w:sz w:val="23"/>
                <w:szCs w:val="23"/>
              </w:rPr>
              <w:t xml:space="preserve">Patients with low femoral neck scores (T-score &lt; -2.5) after 3-5 years of treatment are still at increased risk of vertebral fractures and may benefit in continuous bisphosphonate therapy </w:t>
            </w:r>
            <w:r>
              <w:rPr>
                <w:rFonts w:ascii="Calibri" w:hAnsi="Calibri" w:hint="eastAsia"/>
                <w:sz w:val="23"/>
                <w:szCs w:val="23"/>
              </w:rPr>
              <w:t>-</w:t>
            </w:r>
            <w:r w:rsidRPr="000D046F">
              <w:rPr>
                <w:rFonts w:ascii="Calibri" w:hAnsi="Calibri" w:hint="eastAsia"/>
                <w:sz w:val="23"/>
                <w:szCs w:val="23"/>
              </w:rPr>
              <w:t>Duration of treatment and discontinuation should be individualized based on response to treatmen</w:t>
            </w:r>
            <w:r>
              <w:rPr>
                <w:rFonts w:ascii="Calibri" w:hAnsi="Calibri" w:hint="eastAsia"/>
                <w:sz w:val="23"/>
                <w:szCs w:val="23"/>
              </w:rPr>
              <w:t>t, fracture risk, comorbidities</w:t>
            </w:r>
          </w:p>
          <w:p w14:paraId="1D3A3B47" w14:textId="741C2DEB" w:rsidR="000D046F" w:rsidRPr="002B15D1" w:rsidRDefault="000D046F">
            <w:pPr>
              <w:cnfStyle w:val="000000010000" w:firstRow="0" w:lastRow="0" w:firstColumn="0" w:lastColumn="0" w:oddVBand="0" w:evenVBand="0" w:oddHBand="0" w:evenHBand="1" w:firstRowFirstColumn="0" w:firstRowLastColumn="0" w:lastRowFirstColumn="0" w:lastRowLastColumn="0"/>
              <w:rPr>
                <w:rFonts w:ascii="Calibri" w:hAnsi="Calibri"/>
                <w:sz w:val="23"/>
                <w:szCs w:val="23"/>
              </w:rPr>
            </w:pPr>
            <w:r>
              <w:rPr>
                <w:rFonts w:ascii="Calibri" w:hAnsi="Calibri"/>
                <w:sz w:val="23"/>
                <w:szCs w:val="23"/>
              </w:rPr>
              <w:t>-</w:t>
            </w:r>
            <w:r w:rsidRPr="000D046F">
              <w:rPr>
                <w:rFonts w:ascii="Calibri" w:hAnsi="Calibri" w:hint="eastAsia"/>
                <w:sz w:val="23"/>
                <w:szCs w:val="23"/>
              </w:rPr>
              <w:t>Long-term use of bisphosphonates are not associated with any adverse</w:t>
            </w:r>
            <w:r w:rsidRPr="000D046F">
              <w:rPr>
                <w:rFonts w:ascii="Calibri" w:hAnsi="Calibri"/>
                <w:sz w:val="23"/>
                <w:szCs w:val="23"/>
              </w:rPr>
              <w:t xml:space="preserve"> effects and tolerability remains favorable</w:t>
            </w:r>
          </w:p>
        </w:tc>
        <w:tc>
          <w:tcPr>
            <w:tcW w:w="1734" w:type="dxa"/>
          </w:tcPr>
          <w:p w14:paraId="2152E23E" w14:textId="096C7FE9" w:rsidR="002B15D1" w:rsidRDefault="00476A64">
            <w:pPr>
              <w:cnfStyle w:val="000000010000" w:firstRow="0" w:lastRow="0" w:firstColumn="0" w:lastColumn="0" w:oddVBand="0" w:evenVBand="0" w:oddHBand="0" w:evenHBand="1" w:firstRowFirstColumn="0" w:firstRowLastColumn="0" w:lastRowFirstColumn="0" w:lastRowLastColumn="0"/>
              <w:rPr>
                <w:rFonts w:ascii="Calibri" w:hAnsi="Calibri"/>
                <w:sz w:val="23"/>
                <w:szCs w:val="23"/>
              </w:rPr>
            </w:pPr>
            <w:r>
              <w:rPr>
                <w:rFonts w:ascii="Calibri" w:hAnsi="Calibri"/>
                <w:sz w:val="23"/>
                <w:szCs w:val="23"/>
              </w:rPr>
              <w:t xml:space="preserve">-Although a majority of studies assessed incidence of fracture as endpoints, the clinical relevance of such results may be limited by statistical power and may not be generalized to </w:t>
            </w:r>
            <w:r w:rsidR="00586F74">
              <w:rPr>
                <w:rFonts w:ascii="Calibri" w:hAnsi="Calibri"/>
                <w:sz w:val="23"/>
                <w:szCs w:val="23"/>
              </w:rPr>
              <w:t>populations as a whole</w:t>
            </w:r>
          </w:p>
          <w:p w14:paraId="2273B18A" w14:textId="77777777" w:rsidR="00476A64" w:rsidRDefault="00476A64">
            <w:pPr>
              <w:cnfStyle w:val="000000010000" w:firstRow="0" w:lastRow="0" w:firstColumn="0" w:lastColumn="0" w:oddVBand="0" w:evenVBand="0" w:oddHBand="0" w:evenHBand="1" w:firstRowFirstColumn="0" w:firstRowLastColumn="0" w:lastRowFirstColumn="0" w:lastRowLastColumn="0"/>
              <w:rPr>
                <w:rFonts w:ascii="Calibri" w:hAnsi="Calibri"/>
                <w:sz w:val="23"/>
                <w:szCs w:val="23"/>
              </w:rPr>
            </w:pPr>
            <w:r>
              <w:rPr>
                <w:rFonts w:ascii="Calibri" w:hAnsi="Calibri"/>
                <w:sz w:val="23"/>
                <w:szCs w:val="23"/>
              </w:rPr>
              <w:t>-</w:t>
            </w:r>
            <w:r w:rsidR="00586F74">
              <w:rPr>
                <w:rFonts w:ascii="Calibri" w:hAnsi="Calibri"/>
                <w:sz w:val="23"/>
                <w:szCs w:val="23"/>
              </w:rPr>
              <w:t>Not all studies focused on the same fracture type</w:t>
            </w:r>
          </w:p>
          <w:p w14:paraId="5E00C91D" w14:textId="2F349339" w:rsidR="00586F74" w:rsidRPr="002B15D1" w:rsidRDefault="00586F74">
            <w:pPr>
              <w:cnfStyle w:val="000000010000" w:firstRow="0" w:lastRow="0" w:firstColumn="0" w:lastColumn="0" w:oddVBand="0" w:evenVBand="0" w:oddHBand="0" w:evenHBand="1" w:firstRowFirstColumn="0" w:firstRowLastColumn="0" w:lastRowFirstColumn="0" w:lastRowLastColumn="0"/>
              <w:rPr>
                <w:rFonts w:ascii="Calibri" w:hAnsi="Calibri"/>
                <w:sz w:val="23"/>
                <w:szCs w:val="23"/>
              </w:rPr>
            </w:pPr>
            <w:r>
              <w:rPr>
                <w:rFonts w:ascii="Calibri" w:hAnsi="Calibri"/>
                <w:sz w:val="23"/>
                <w:szCs w:val="23"/>
              </w:rPr>
              <w:t xml:space="preserve">-Different studies focused on different bisphosphonates, thus results may or may not be extrapolated to use of other </w:t>
            </w:r>
            <w:r w:rsidR="001F7146">
              <w:rPr>
                <w:rFonts w:ascii="Calibri" w:hAnsi="Calibri"/>
                <w:sz w:val="23"/>
                <w:szCs w:val="23"/>
              </w:rPr>
              <w:t>bisphosphonates</w:t>
            </w:r>
          </w:p>
        </w:tc>
      </w:tr>
      <w:tr w:rsidR="009B28D0" w14:paraId="1DE51A57" w14:textId="77777777" w:rsidTr="00484F40">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184" w:type="dxa"/>
          </w:tcPr>
          <w:p w14:paraId="5BBFE1E5" w14:textId="38ACB9FC" w:rsidR="002B15D1" w:rsidRPr="002B15D1" w:rsidRDefault="006F22B9">
            <w:pPr>
              <w:rPr>
                <w:rFonts w:ascii="Calibri" w:hAnsi="Calibri"/>
                <w:sz w:val="23"/>
                <w:szCs w:val="23"/>
              </w:rPr>
            </w:pPr>
            <w:r>
              <w:rPr>
                <w:rFonts w:ascii="Calibri" w:hAnsi="Calibri"/>
                <w:sz w:val="23"/>
                <w:szCs w:val="23"/>
              </w:rPr>
              <w:t>Villa, et al., 2016</w:t>
            </w:r>
          </w:p>
        </w:tc>
        <w:tc>
          <w:tcPr>
            <w:tcW w:w="1233" w:type="dxa"/>
          </w:tcPr>
          <w:p w14:paraId="6B49EAA7" w14:textId="5FDDA608" w:rsidR="002B15D1" w:rsidRPr="002B15D1" w:rsidRDefault="00292472">
            <w:pPr>
              <w:cnfStyle w:val="000000100000" w:firstRow="0" w:lastRow="0" w:firstColumn="0" w:lastColumn="0" w:oddVBand="0" w:evenVBand="0" w:oddHBand="1" w:evenHBand="0" w:firstRowFirstColumn="0" w:firstRowLastColumn="0" w:lastRowFirstColumn="0" w:lastRowLastColumn="0"/>
              <w:rPr>
                <w:rFonts w:ascii="Calibri" w:hAnsi="Calibri"/>
                <w:sz w:val="23"/>
                <w:szCs w:val="23"/>
              </w:rPr>
            </w:pPr>
            <w:r>
              <w:rPr>
                <w:rFonts w:ascii="Calibri" w:hAnsi="Calibri"/>
                <w:sz w:val="23"/>
                <w:szCs w:val="23"/>
              </w:rPr>
              <w:t>Systematic review</w:t>
            </w:r>
          </w:p>
        </w:tc>
        <w:tc>
          <w:tcPr>
            <w:tcW w:w="1737" w:type="dxa"/>
          </w:tcPr>
          <w:p w14:paraId="35B04BB2" w14:textId="77777777" w:rsidR="002B15D1" w:rsidRDefault="0037579F">
            <w:pPr>
              <w:cnfStyle w:val="000000100000" w:firstRow="0" w:lastRow="0" w:firstColumn="0" w:lastColumn="0" w:oddVBand="0" w:evenVBand="0" w:oddHBand="1" w:evenHBand="0" w:firstRowFirstColumn="0" w:firstRowLastColumn="0" w:lastRowFirstColumn="0" w:lastRowLastColumn="0"/>
              <w:rPr>
                <w:rFonts w:ascii="Calibri" w:hAnsi="Calibri"/>
                <w:sz w:val="23"/>
                <w:szCs w:val="23"/>
              </w:rPr>
            </w:pPr>
            <w:r>
              <w:rPr>
                <w:rFonts w:ascii="Calibri" w:hAnsi="Calibri"/>
                <w:sz w:val="23"/>
                <w:szCs w:val="23"/>
              </w:rPr>
              <w:t xml:space="preserve">-Databases used included </w:t>
            </w:r>
            <w:proofErr w:type="spellStart"/>
            <w:r>
              <w:rPr>
                <w:rFonts w:ascii="Calibri" w:hAnsi="Calibri"/>
                <w:sz w:val="23"/>
                <w:szCs w:val="23"/>
              </w:rPr>
              <w:t>Pubmed</w:t>
            </w:r>
            <w:proofErr w:type="spellEnd"/>
            <w:r>
              <w:rPr>
                <w:rFonts w:ascii="Calibri" w:hAnsi="Calibri"/>
                <w:sz w:val="23"/>
                <w:szCs w:val="23"/>
              </w:rPr>
              <w:t>, MEDLINE, and EMBASE with particular focus to “drug holiday”</w:t>
            </w:r>
            <w:r w:rsidR="003926C5">
              <w:rPr>
                <w:rFonts w:ascii="Calibri" w:hAnsi="Calibri"/>
                <w:sz w:val="23"/>
                <w:szCs w:val="23"/>
              </w:rPr>
              <w:t xml:space="preserve"> with total of 65 articles</w:t>
            </w:r>
          </w:p>
          <w:p w14:paraId="1B64A3C9" w14:textId="77777777" w:rsidR="003926C5" w:rsidRDefault="003926C5">
            <w:pPr>
              <w:cnfStyle w:val="000000100000" w:firstRow="0" w:lastRow="0" w:firstColumn="0" w:lastColumn="0" w:oddVBand="0" w:evenVBand="0" w:oddHBand="1" w:evenHBand="0" w:firstRowFirstColumn="0" w:firstRowLastColumn="0" w:lastRowFirstColumn="0" w:lastRowLastColumn="0"/>
              <w:rPr>
                <w:rFonts w:ascii="Calibri" w:hAnsi="Calibri"/>
                <w:sz w:val="23"/>
                <w:szCs w:val="23"/>
              </w:rPr>
            </w:pPr>
            <w:r>
              <w:rPr>
                <w:rFonts w:ascii="Calibri" w:hAnsi="Calibri"/>
                <w:sz w:val="23"/>
                <w:szCs w:val="23"/>
              </w:rPr>
              <w:t>-Inclusion criteria: clinical trials, case control, human studies, published in peer-reviewed journal, written in English</w:t>
            </w:r>
          </w:p>
          <w:p w14:paraId="0DBBE80E" w14:textId="3FD922F3" w:rsidR="003926C5" w:rsidRPr="002B15D1" w:rsidRDefault="003926C5">
            <w:pPr>
              <w:cnfStyle w:val="000000100000" w:firstRow="0" w:lastRow="0" w:firstColumn="0" w:lastColumn="0" w:oddVBand="0" w:evenVBand="0" w:oddHBand="1" w:evenHBand="0" w:firstRowFirstColumn="0" w:firstRowLastColumn="0" w:lastRowFirstColumn="0" w:lastRowLastColumn="0"/>
              <w:rPr>
                <w:rFonts w:ascii="Calibri" w:hAnsi="Calibri"/>
                <w:sz w:val="23"/>
                <w:szCs w:val="23"/>
              </w:rPr>
            </w:pPr>
            <w:r>
              <w:rPr>
                <w:rFonts w:ascii="Calibri" w:hAnsi="Calibri"/>
                <w:sz w:val="23"/>
                <w:szCs w:val="23"/>
              </w:rPr>
              <w:t>-Exclusion criteria: case reports, case series, in vitro studies</w:t>
            </w:r>
          </w:p>
        </w:tc>
        <w:tc>
          <w:tcPr>
            <w:tcW w:w="1317" w:type="dxa"/>
          </w:tcPr>
          <w:p w14:paraId="7CC21D66" w14:textId="67F99077" w:rsidR="002B15D1" w:rsidRPr="002B15D1" w:rsidRDefault="00AB61FB" w:rsidP="00AB61FB">
            <w:pPr>
              <w:cnfStyle w:val="000000100000" w:firstRow="0" w:lastRow="0" w:firstColumn="0" w:lastColumn="0" w:oddVBand="0" w:evenVBand="0" w:oddHBand="1" w:evenHBand="0" w:firstRowFirstColumn="0" w:firstRowLastColumn="0" w:lastRowFirstColumn="0" w:lastRowLastColumn="0"/>
              <w:rPr>
                <w:rFonts w:ascii="Calibri" w:hAnsi="Calibri"/>
                <w:sz w:val="23"/>
                <w:szCs w:val="23"/>
              </w:rPr>
            </w:pPr>
            <w:r>
              <w:rPr>
                <w:rFonts w:ascii="Calibri" w:hAnsi="Calibri"/>
                <w:sz w:val="23"/>
                <w:szCs w:val="23"/>
              </w:rPr>
              <w:t>-Outcomes studied included efficacy of bisphosphonate treatment, long-term effects of bisphosphonates, osteonecrosis of the jaw, atypical femoral fractures, esophageal cancer</w:t>
            </w:r>
          </w:p>
        </w:tc>
        <w:tc>
          <w:tcPr>
            <w:tcW w:w="2609" w:type="dxa"/>
          </w:tcPr>
          <w:p w14:paraId="5D1B67B1" w14:textId="77777777" w:rsidR="002B15D1" w:rsidRDefault="00AB61FB">
            <w:pPr>
              <w:cnfStyle w:val="000000100000" w:firstRow="0" w:lastRow="0" w:firstColumn="0" w:lastColumn="0" w:oddVBand="0" w:evenVBand="0" w:oddHBand="1" w:evenHBand="0" w:firstRowFirstColumn="0" w:firstRowLastColumn="0" w:lastRowFirstColumn="0" w:lastRowLastColumn="0"/>
              <w:rPr>
                <w:rFonts w:ascii="Calibri" w:hAnsi="Calibri"/>
                <w:sz w:val="23"/>
                <w:szCs w:val="23"/>
              </w:rPr>
            </w:pPr>
            <w:r>
              <w:rPr>
                <w:rFonts w:ascii="Calibri" w:hAnsi="Calibri"/>
                <w:sz w:val="23"/>
                <w:szCs w:val="23"/>
              </w:rPr>
              <w:t>-The purpose of this review was to evaluate current literature to determine when drug holidays are indicated, the duration of such drug holiday, f/u during drug holiday, and proper treatment/maintenance after such drug holiday</w:t>
            </w:r>
          </w:p>
          <w:p w14:paraId="34ED60B9" w14:textId="77777777" w:rsidR="00AB61FB" w:rsidRDefault="00AB61FB">
            <w:pPr>
              <w:cnfStyle w:val="000000100000" w:firstRow="0" w:lastRow="0" w:firstColumn="0" w:lastColumn="0" w:oddVBand="0" w:evenVBand="0" w:oddHBand="1" w:evenHBand="0" w:firstRowFirstColumn="0" w:firstRowLastColumn="0" w:lastRowFirstColumn="0" w:lastRowLastColumn="0"/>
              <w:rPr>
                <w:rFonts w:ascii="Calibri" w:hAnsi="Calibri"/>
                <w:sz w:val="23"/>
                <w:szCs w:val="23"/>
              </w:rPr>
            </w:pPr>
            <w:r>
              <w:rPr>
                <w:rFonts w:ascii="Calibri" w:hAnsi="Calibri"/>
                <w:sz w:val="23"/>
                <w:szCs w:val="23"/>
              </w:rPr>
              <w:t>-</w:t>
            </w:r>
            <w:r w:rsidR="009F6DA9">
              <w:rPr>
                <w:rFonts w:ascii="Calibri" w:hAnsi="Calibri"/>
                <w:sz w:val="23"/>
                <w:szCs w:val="23"/>
              </w:rPr>
              <w:t xml:space="preserve">After the use of FDA approved bisphosphonates (alendronate, </w:t>
            </w:r>
            <w:proofErr w:type="spellStart"/>
            <w:r w:rsidR="009F6DA9">
              <w:rPr>
                <w:rFonts w:ascii="Calibri" w:hAnsi="Calibri"/>
                <w:sz w:val="23"/>
                <w:szCs w:val="23"/>
              </w:rPr>
              <w:t>risedronate</w:t>
            </w:r>
            <w:proofErr w:type="spellEnd"/>
            <w:r w:rsidR="009F6DA9">
              <w:rPr>
                <w:rFonts w:ascii="Calibri" w:hAnsi="Calibri"/>
                <w:sz w:val="23"/>
                <w:szCs w:val="23"/>
              </w:rPr>
              <w:t xml:space="preserve">, </w:t>
            </w:r>
            <w:proofErr w:type="spellStart"/>
            <w:r w:rsidR="009F6DA9">
              <w:rPr>
                <w:rFonts w:ascii="Calibri" w:hAnsi="Calibri"/>
                <w:sz w:val="23"/>
                <w:szCs w:val="23"/>
              </w:rPr>
              <w:t>ibandronate</w:t>
            </w:r>
            <w:proofErr w:type="spellEnd"/>
            <w:r w:rsidR="009F6DA9">
              <w:rPr>
                <w:rFonts w:ascii="Calibri" w:hAnsi="Calibri"/>
                <w:sz w:val="23"/>
                <w:szCs w:val="23"/>
              </w:rPr>
              <w:t xml:space="preserve">, </w:t>
            </w:r>
            <w:proofErr w:type="spellStart"/>
            <w:r w:rsidR="009F6DA9">
              <w:rPr>
                <w:rFonts w:ascii="Calibri" w:hAnsi="Calibri"/>
                <w:sz w:val="23"/>
                <w:szCs w:val="23"/>
              </w:rPr>
              <w:t>zoledronic</w:t>
            </w:r>
            <w:proofErr w:type="spellEnd"/>
            <w:r w:rsidR="009F6DA9">
              <w:rPr>
                <w:rFonts w:ascii="Calibri" w:hAnsi="Calibri"/>
                <w:sz w:val="23"/>
                <w:szCs w:val="23"/>
              </w:rPr>
              <w:t xml:space="preserve"> acid), fracture risk reduction is 47-70% lower for vertebral fractures, 28-50% lower for hip fractures, and 19-38% lower for other non vertebral fractures</w:t>
            </w:r>
          </w:p>
          <w:p w14:paraId="2DBF131D" w14:textId="27464460" w:rsidR="009F6DA9" w:rsidRDefault="009F6DA9">
            <w:pPr>
              <w:cnfStyle w:val="000000100000" w:firstRow="0" w:lastRow="0" w:firstColumn="0" w:lastColumn="0" w:oddVBand="0" w:evenVBand="0" w:oddHBand="1" w:evenHBand="0" w:firstRowFirstColumn="0" w:firstRowLastColumn="0" w:lastRowFirstColumn="0" w:lastRowLastColumn="0"/>
              <w:rPr>
                <w:rFonts w:ascii="Calibri" w:hAnsi="Calibri"/>
                <w:sz w:val="23"/>
                <w:szCs w:val="23"/>
              </w:rPr>
            </w:pPr>
            <w:r>
              <w:rPr>
                <w:rFonts w:ascii="Calibri" w:hAnsi="Calibri"/>
                <w:sz w:val="23"/>
                <w:szCs w:val="23"/>
              </w:rPr>
              <w:t>-Discontinuation of bisphosphonate use for up to 5 years does not significant increase fracture risk</w:t>
            </w:r>
            <w:r w:rsidR="00D8799C">
              <w:rPr>
                <w:rFonts w:ascii="Calibri" w:hAnsi="Calibri"/>
                <w:sz w:val="23"/>
                <w:szCs w:val="23"/>
              </w:rPr>
              <w:t xml:space="preserve"> for women with low risk</w:t>
            </w:r>
            <w:r>
              <w:rPr>
                <w:rFonts w:ascii="Calibri" w:hAnsi="Calibri"/>
                <w:sz w:val="23"/>
                <w:szCs w:val="23"/>
              </w:rPr>
              <w:t xml:space="preserve"> but women with high risk of clinical fracture may benefit from continued bisphosphonate use</w:t>
            </w:r>
          </w:p>
          <w:p w14:paraId="71C13C45" w14:textId="77777777" w:rsidR="00D8799C" w:rsidRDefault="00D8799C">
            <w:pPr>
              <w:cnfStyle w:val="000000100000" w:firstRow="0" w:lastRow="0" w:firstColumn="0" w:lastColumn="0" w:oddVBand="0" w:evenVBand="0" w:oddHBand="1" w:evenHBand="0" w:firstRowFirstColumn="0" w:firstRowLastColumn="0" w:lastRowFirstColumn="0" w:lastRowLastColumn="0"/>
              <w:rPr>
                <w:rFonts w:ascii="Calibri" w:hAnsi="Calibri"/>
                <w:sz w:val="23"/>
                <w:szCs w:val="23"/>
              </w:rPr>
            </w:pPr>
            <w:r>
              <w:rPr>
                <w:rFonts w:ascii="Calibri" w:hAnsi="Calibri"/>
                <w:sz w:val="23"/>
                <w:szCs w:val="23"/>
              </w:rPr>
              <w:t>-</w:t>
            </w:r>
            <w:r w:rsidR="001831D0">
              <w:rPr>
                <w:rFonts w:ascii="Calibri" w:hAnsi="Calibri"/>
                <w:sz w:val="23"/>
                <w:szCs w:val="23"/>
              </w:rPr>
              <w:t>Bisphosphonate use and subsequent development of osteonecrosis of the jaw remains unclear; rather it may be attributed to bone formation suppression instead</w:t>
            </w:r>
          </w:p>
          <w:p w14:paraId="47F07804" w14:textId="77777777" w:rsidR="001831D0" w:rsidRDefault="001831D0" w:rsidP="001831D0">
            <w:pPr>
              <w:cnfStyle w:val="000000100000" w:firstRow="0" w:lastRow="0" w:firstColumn="0" w:lastColumn="0" w:oddVBand="0" w:evenVBand="0" w:oddHBand="1" w:evenHBand="0" w:firstRowFirstColumn="0" w:firstRowLastColumn="0" w:lastRowFirstColumn="0" w:lastRowLastColumn="0"/>
              <w:rPr>
                <w:rFonts w:ascii="Calibri" w:hAnsi="Calibri"/>
                <w:sz w:val="23"/>
                <w:szCs w:val="23"/>
              </w:rPr>
            </w:pPr>
            <w:r>
              <w:rPr>
                <w:rFonts w:ascii="Calibri" w:hAnsi="Calibri"/>
                <w:sz w:val="23"/>
                <w:szCs w:val="23"/>
              </w:rPr>
              <w:t>- The absolute risk of developing atypical femoral fractures is low and there is no consensus on the extent of bisphosphonate use increases this risk</w:t>
            </w:r>
          </w:p>
          <w:p w14:paraId="3B10D960" w14:textId="77777777" w:rsidR="001831D0" w:rsidRDefault="001831D0" w:rsidP="001831D0">
            <w:pPr>
              <w:cnfStyle w:val="000000100000" w:firstRow="0" w:lastRow="0" w:firstColumn="0" w:lastColumn="0" w:oddVBand="0" w:evenVBand="0" w:oddHBand="1" w:evenHBand="0" w:firstRowFirstColumn="0" w:firstRowLastColumn="0" w:lastRowFirstColumn="0" w:lastRowLastColumn="0"/>
              <w:rPr>
                <w:rFonts w:ascii="Calibri" w:hAnsi="Calibri"/>
                <w:sz w:val="23"/>
                <w:szCs w:val="23"/>
              </w:rPr>
            </w:pPr>
            <w:r>
              <w:rPr>
                <w:rFonts w:ascii="Calibri" w:hAnsi="Calibri"/>
                <w:sz w:val="23"/>
                <w:szCs w:val="23"/>
              </w:rPr>
              <w:t>-There is no evidence supporting increased risk of esophageal cancer with bisphosphonate use</w:t>
            </w:r>
          </w:p>
          <w:p w14:paraId="3DEEDAB9" w14:textId="10700DE5" w:rsidR="001831D0" w:rsidRPr="002B15D1" w:rsidRDefault="001831D0" w:rsidP="001831D0">
            <w:pPr>
              <w:cnfStyle w:val="000000100000" w:firstRow="0" w:lastRow="0" w:firstColumn="0" w:lastColumn="0" w:oddVBand="0" w:evenVBand="0" w:oddHBand="1" w:evenHBand="0" w:firstRowFirstColumn="0" w:firstRowLastColumn="0" w:lastRowFirstColumn="0" w:lastRowLastColumn="0"/>
              <w:rPr>
                <w:rFonts w:ascii="Calibri" w:hAnsi="Calibri"/>
                <w:sz w:val="23"/>
                <w:szCs w:val="23"/>
              </w:rPr>
            </w:pPr>
            <w:r>
              <w:rPr>
                <w:rFonts w:ascii="Calibri" w:hAnsi="Calibri"/>
                <w:sz w:val="23"/>
                <w:szCs w:val="23"/>
              </w:rPr>
              <w:t>-Patients with femoral neck T score above -2.0 are unlikely to benefit from continued treatment over 5 years</w:t>
            </w:r>
          </w:p>
        </w:tc>
        <w:tc>
          <w:tcPr>
            <w:tcW w:w="1734" w:type="dxa"/>
          </w:tcPr>
          <w:p w14:paraId="693C2573" w14:textId="77777777" w:rsidR="002B15D1" w:rsidRDefault="00D50B48">
            <w:pPr>
              <w:cnfStyle w:val="000000100000" w:firstRow="0" w:lastRow="0" w:firstColumn="0" w:lastColumn="0" w:oddVBand="0" w:evenVBand="0" w:oddHBand="1" w:evenHBand="0" w:firstRowFirstColumn="0" w:firstRowLastColumn="0" w:lastRowFirstColumn="0" w:lastRowLastColumn="0"/>
              <w:rPr>
                <w:rFonts w:ascii="Calibri" w:hAnsi="Calibri"/>
                <w:sz w:val="23"/>
                <w:szCs w:val="23"/>
              </w:rPr>
            </w:pPr>
            <w:r>
              <w:rPr>
                <w:rFonts w:ascii="Calibri" w:hAnsi="Calibri"/>
                <w:sz w:val="23"/>
                <w:szCs w:val="23"/>
              </w:rPr>
              <w:t>-What consists of a “drug holiday” is not consistent between all studies included</w:t>
            </w:r>
          </w:p>
          <w:p w14:paraId="39DA284B" w14:textId="77777777" w:rsidR="00D50B48" w:rsidRDefault="00D50B48">
            <w:pPr>
              <w:cnfStyle w:val="000000100000" w:firstRow="0" w:lastRow="0" w:firstColumn="0" w:lastColumn="0" w:oddVBand="0" w:evenVBand="0" w:oddHBand="1" w:evenHBand="0" w:firstRowFirstColumn="0" w:firstRowLastColumn="0" w:lastRowFirstColumn="0" w:lastRowLastColumn="0"/>
              <w:rPr>
                <w:rFonts w:ascii="Calibri" w:hAnsi="Calibri"/>
                <w:sz w:val="23"/>
                <w:szCs w:val="23"/>
              </w:rPr>
            </w:pPr>
            <w:r>
              <w:rPr>
                <w:rFonts w:ascii="Calibri" w:hAnsi="Calibri"/>
                <w:sz w:val="23"/>
                <w:szCs w:val="23"/>
              </w:rPr>
              <w:t>-Longer follow-up studies were limited</w:t>
            </w:r>
          </w:p>
          <w:p w14:paraId="0F49D10A" w14:textId="278EACC0" w:rsidR="00D50B48" w:rsidRPr="002B15D1" w:rsidRDefault="00D50B48">
            <w:pPr>
              <w:cnfStyle w:val="000000100000" w:firstRow="0" w:lastRow="0" w:firstColumn="0" w:lastColumn="0" w:oddVBand="0" w:evenVBand="0" w:oddHBand="1" w:evenHBand="0" w:firstRowFirstColumn="0" w:firstRowLastColumn="0" w:lastRowFirstColumn="0" w:lastRowLastColumn="0"/>
              <w:rPr>
                <w:rFonts w:ascii="Calibri" w:hAnsi="Calibri"/>
                <w:sz w:val="23"/>
                <w:szCs w:val="23"/>
              </w:rPr>
            </w:pPr>
            <w:r>
              <w:rPr>
                <w:rFonts w:ascii="Calibri" w:hAnsi="Calibri"/>
                <w:sz w:val="23"/>
                <w:szCs w:val="23"/>
              </w:rPr>
              <w:t>-One of the authors in this review reported personal fees from various biotechnical companies with specific focus in rheumatology</w:t>
            </w:r>
          </w:p>
        </w:tc>
      </w:tr>
      <w:tr w:rsidR="009B28D0" w14:paraId="78F05091" w14:textId="77777777" w:rsidTr="00484F40">
        <w:trPr>
          <w:cnfStyle w:val="000000010000" w:firstRow="0" w:lastRow="0" w:firstColumn="0" w:lastColumn="0" w:oddVBand="0" w:evenVBand="0" w:oddHBand="0" w:evenHBand="1"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184" w:type="dxa"/>
          </w:tcPr>
          <w:p w14:paraId="79304DCC" w14:textId="217875F1" w:rsidR="002B15D1" w:rsidRPr="002B15D1" w:rsidRDefault="008F39C9">
            <w:pPr>
              <w:rPr>
                <w:rFonts w:ascii="Calibri" w:hAnsi="Calibri"/>
                <w:sz w:val="23"/>
                <w:szCs w:val="23"/>
              </w:rPr>
            </w:pPr>
            <w:r>
              <w:rPr>
                <w:rFonts w:ascii="Calibri" w:hAnsi="Calibri"/>
                <w:sz w:val="23"/>
                <w:szCs w:val="23"/>
              </w:rPr>
              <w:t>AACE/ACE, 2016</w:t>
            </w:r>
          </w:p>
        </w:tc>
        <w:tc>
          <w:tcPr>
            <w:tcW w:w="1233" w:type="dxa"/>
          </w:tcPr>
          <w:p w14:paraId="4D259547" w14:textId="255166B5" w:rsidR="002B15D1" w:rsidRPr="002B15D1" w:rsidRDefault="008F39C9">
            <w:pPr>
              <w:cnfStyle w:val="000000010000" w:firstRow="0" w:lastRow="0" w:firstColumn="0" w:lastColumn="0" w:oddVBand="0" w:evenVBand="0" w:oddHBand="0" w:evenHBand="1" w:firstRowFirstColumn="0" w:firstRowLastColumn="0" w:lastRowFirstColumn="0" w:lastRowLastColumn="0"/>
              <w:rPr>
                <w:rFonts w:ascii="Calibri" w:hAnsi="Calibri"/>
                <w:sz w:val="23"/>
                <w:szCs w:val="23"/>
              </w:rPr>
            </w:pPr>
            <w:r>
              <w:rPr>
                <w:rFonts w:ascii="Calibri" w:hAnsi="Calibri"/>
                <w:sz w:val="23"/>
                <w:szCs w:val="23"/>
              </w:rPr>
              <w:t>Clinical practice guidelines</w:t>
            </w:r>
          </w:p>
        </w:tc>
        <w:tc>
          <w:tcPr>
            <w:tcW w:w="1737" w:type="dxa"/>
          </w:tcPr>
          <w:p w14:paraId="35DC9C89" w14:textId="11527FC2" w:rsidR="002B15D1" w:rsidRPr="002B15D1" w:rsidRDefault="008F39C9">
            <w:pPr>
              <w:cnfStyle w:val="000000010000" w:firstRow="0" w:lastRow="0" w:firstColumn="0" w:lastColumn="0" w:oddVBand="0" w:evenVBand="0" w:oddHBand="0" w:evenHBand="1" w:firstRowFirstColumn="0" w:firstRowLastColumn="0" w:lastRowFirstColumn="0" w:lastRowLastColumn="0"/>
              <w:rPr>
                <w:rFonts w:ascii="Calibri" w:hAnsi="Calibri"/>
                <w:sz w:val="23"/>
                <w:szCs w:val="23"/>
              </w:rPr>
            </w:pPr>
            <w:r>
              <w:rPr>
                <w:rFonts w:ascii="Calibri" w:hAnsi="Calibri"/>
                <w:sz w:val="23"/>
                <w:szCs w:val="23"/>
              </w:rPr>
              <w:t>-This is a clinical practice guideline for the diagnosis and treatment of postmenopausal osteoporosis</w:t>
            </w:r>
          </w:p>
        </w:tc>
        <w:tc>
          <w:tcPr>
            <w:tcW w:w="1317" w:type="dxa"/>
          </w:tcPr>
          <w:p w14:paraId="6B6E0224" w14:textId="77D21DF9" w:rsidR="008F39C9" w:rsidRPr="002B15D1" w:rsidRDefault="008F39C9">
            <w:pPr>
              <w:cnfStyle w:val="000000010000" w:firstRow="0" w:lastRow="0" w:firstColumn="0" w:lastColumn="0" w:oddVBand="0" w:evenVBand="0" w:oddHBand="0" w:evenHBand="1" w:firstRowFirstColumn="0" w:firstRowLastColumn="0" w:lastRowFirstColumn="0" w:lastRowLastColumn="0"/>
              <w:rPr>
                <w:rFonts w:ascii="Calibri" w:hAnsi="Calibri"/>
                <w:sz w:val="23"/>
                <w:szCs w:val="23"/>
              </w:rPr>
            </w:pPr>
            <w:r>
              <w:rPr>
                <w:rFonts w:ascii="Calibri" w:hAnsi="Calibri"/>
                <w:sz w:val="23"/>
                <w:szCs w:val="23"/>
              </w:rPr>
              <w:t xml:space="preserve">Recommendations are organized into how fracture risk is assessed and diagnosed, who needs pharmacologic therapy, what medication should be used, how treatment is monitored, </w:t>
            </w:r>
            <w:r w:rsidR="006D2C88">
              <w:rPr>
                <w:rFonts w:ascii="Calibri" w:hAnsi="Calibri"/>
                <w:sz w:val="23"/>
                <w:szCs w:val="23"/>
              </w:rPr>
              <w:t>whether sequential use of therapeutic agents should be considered, and risks</w:t>
            </w:r>
          </w:p>
        </w:tc>
        <w:tc>
          <w:tcPr>
            <w:tcW w:w="2609" w:type="dxa"/>
          </w:tcPr>
          <w:p w14:paraId="0D9924BC" w14:textId="6529A80D" w:rsidR="002B15D1" w:rsidRDefault="00D60422">
            <w:pPr>
              <w:cnfStyle w:val="000000010000" w:firstRow="0" w:lastRow="0" w:firstColumn="0" w:lastColumn="0" w:oddVBand="0" w:evenVBand="0" w:oddHBand="0" w:evenHBand="1" w:firstRowFirstColumn="0" w:firstRowLastColumn="0" w:lastRowFirstColumn="0" w:lastRowLastColumn="0"/>
              <w:rPr>
                <w:rFonts w:ascii="Calibri" w:hAnsi="Calibri"/>
                <w:sz w:val="23"/>
                <w:szCs w:val="23"/>
              </w:rPr>
            </w:pPr>
            <w:r>
              <w:rPr>
                <w:rFonts w:ascii="Calibri" w:hAnsi="Calibri"/>
                <w:sz w:val="23"/>
                <w:szCs w:val="23"/>
              </w:rPr>
              <w:t>-</w:t>
            </w:r>
            <w:r w:rsidR="00DF76B0">
              <w:rPr>
                <w:rFonts w:ascii="Calibri" w:hAnsi="Calibri"/>
                <w:sz w:val="23"/>
                <w:szCs w:val="23"/>
              </w:rPr>
              <w:t>All women aged 50 and above should be evaluated for osteoporosis risk through detailed history, PE, FRAX tool</w:t>
            </w:r>
          </w:p>
          <w:p w14:paraId="7BE4F6CA" w14:textId="324D205A" w:rsidR="00DF76B0" w:rsidRDefault="00DF76B0">
            <w:pPr>
              <w:cnfStyle w:val="000000010000" w:firstRow="0" w:lastRow="0" w:firstColumn="0" w:lastColumn="0" w:oddVBand="0" w:evenVBand="0" w:oddHBand="0" w:evenHBand="1" w:firstRowFirstColumn="0" w:firstRowLastColumn="0" w:lastRowFirstColumn="0" w:lastRowLastColumn="0"/>
              <w:rPr>
                <w:rFonts w:ascii="Calibri" w:hAnsi="Calibri"/>
                <w:sz w:val="23"/>
                <w:szCs w:val="23"/>
              </w:rPr>
            </w:pPr>
            <w:r>
              <w:rPr>
                <w:rFonts w:ascii="Calibri" w:hAnsi="Calibri"/>
                <w:sz w:val="23"/>
                <w:szCs w:val="23"/>
              </w:rPr>
              <w:t>-Pharmacotherapy is strongly reco</w:t>
            </w:r>
            <w:r w:rsidR="00F01A80">
              <w:rPr>
                <w:rFonts w:ascii="Calibri" w:hAnsi="Calibri"/>
                <w:sz w:val="23"/>
                <w:szCs w:val="23"/>
              </w:rPr>
              <w:t>mmended for patients with T-scor</w:t>
            </w:r>
            <w:r>
              <w:rPr>
                <w:rFonts w:ascii="Calibri" w:hAnsi="Calibri"/>
                <w:sz w:val="23"/>
                <w:szCs w:val="23"/>
              </w:rPr>
              <w:t>e of -2.5 or lower in spine, femoral neck, total hip</w:t>
            </w:r>
          </w:p>
          <w:p w14:paraId="0CD731BB" w14:textId="77777777" w:rsidR="00DF76B0" w:rsidRDefault="00DF76B0">
            <w:pPr>
              <w:cnfStyle w:val="000000010000" w:firstRow="0" w:lastRow="0" w:firstColumn="0" w:lastColumn="0" w:oddVBand="0" w:evenVBand="0" w:oddHBand="0" w:evenHBand="1" w:firstRowFirstColumn="0" w:firstRowLastColumn="0" w:lastRowFirstColumn="0" w:lastRowLastColumn="0"/>
              <w:rPr>
                <w:rFonts w:ascii="Calibri" w:hAnsi="Calibri"/>
                <w:sz w:val="23"/>
                <w:szCs w:val="23"/>
              </w:rPr>
            </w:pPr>
            <w:r>
              <w:rPr>
                <w:rFonts w:ascii="Calibri" w:hAnsi="Calibri"/>
                <w:sz w:val="23"/>
                <w:szCs w:val="23"/>
              </w:rPr>
              <w:t>-Treatment is monitored by obtaining baseline axial spine/hip DXA, repeat q1-2 years or less depending on clinical circumstance; also monitor serial changes in lumbar spine, total hip, femoral neck</w:t>
            </w:r>
          </w:p>
          <w:p w14:paraId="1D372B5E" w14:textId="77777777" w:rsidR="00DF76B0" w:rsidRDefault="00DF76B0">
            <w:pPr>
              <w:cnfStyle w:val="000000010000" w:firstRow="0" w:lastRow="0" w:firstColumn="0" w:lastColumn="0" w:oddVBand="0" w:evenVBand="0" w:oddHBand="0" w:evenHBand="1" w:firstRowFirstColumn="0" w:firstRowLastColumn="0" w:lastRowFirstColumn="0" w:lastRowLastColumn="0"/>
              <w:rPr>
                <w:rFonts w:ascii="Calibri" w:hAnsi="Calibri"/>
                <w:sz w:val="23"/>
                <w:szCs w:val="23"/>
              </w:rPr>
            </w:pPr>
            <w:r>
              <w:rPr>
                <w:rFonts w:ascii="Calibri" w:hAnsi="Calibri"/>
                <w:sz w:val="23"/>
                <w:szCs w:val="23"/>
              </w:rPr>
              <w:t>-Consider bisphosphonate holiday after 5 years of stability in mod-risk patients, 6-10 years in higher-risk patients</w:t>
            </w:r>
          </w:p>
          <w:p w14:paraId="76551F21" w14:textId="1B4C47FE" w:rsidR="00DF76B0" w:rsidRPr="002B15D1" w:rsidRDefault="00DF76B0">
            <w:pPr>
              <w:cnfStyle w:val="000000010000" w:firstRow="0" w:lastRow="0" w:firstColumn="0" w:lastColumn="0" w:oddVBand="0" w:evenVBand="0" w:oddHBand="0" w:evenHBand="1" w:firstRowFirstColumn="0" w:firstRowLastColumn="0" w:lastRowFirstColumn="0" w:lastRowLastColumn="0"/>
              <w:rPr>
                <w:rFonts w:ascii="Calibri" w:hAnsi="Calibri"/>
                <w:sz w:val="23"/>
                <w:szCs w:val="23"/>
              </w:rPr>
            </w:pPr>
            <w:r>
              <w:rPr>
                <w:rFonts w:ascii="Calibri" w:hAnsi="Calibri"/>
                <w:sz w:val="23"/>
                <w:szCs w:val="23"/>
              </w:rPr>
              <w:t>-Ending of bisphosphonate holiday is based on individual patient, optimal duration of such holiday is still not established</w:t>
            </w:r>
          </w:p>
        </w:tc>
        <w:tc>
          <w:tcPr>
            <w:tcW w:w="1734" w:type="dxa"/>
          </w:tcPr>
          <w:p w14:paraId="6A085EDD" w14:textId="77777777" w:rsidR="002B15D1" w:rsidRDefault="009E5A6A">
            <w:pPr>
              <w:cnfStyle w:val="000000010000" w:firstRow="0" w:lastRow="0" w:firstColumn="0" w:lastColumn="0" w:oddVBand="0" w:evenVBand="0" w:oddHBand="0" w:evenHBand="1" w:firstRowFirstColumn="0" w:firstRowLastColumn="0" w:lastRowFirstColumn="0" w:lastRowLastColumn="0"/>
              <w:rPr>
                <w:rFonts w:ascii="Calibri" w:hAnsi="Calibri"/>
                <w:sz w:val="23"/>
                <w:szCs w:val="23"/>
              </w:rPr>
            </w:pPr>
            <w:r>
              <w:rPr>
                <w:rFonts w:ascii="Calibri" w:hAnsi="Calibri"/>
                <w:sz w:val="23"/>
                <w:szCs w:val="23"/>
              </w:rPr>
              <w:t>-</w:t>
            </w:r>
            <w:r w:rsidR="00E65BE0">
              <w:rPr>
                <w:rFonts w:ascii="Calibri" w:hAnsi="Calibri"/>
                <w:sz w:val="23"/>
                <w:szCs w:val="23"/>
              </w:rPr>
              <w:t>Although this clinical practice guideline reviewed many types of articles (both of low and high evidence), shortcomings of such guidelines include expert opinion</w:t>
            </w:r>
          </w:p>
          <w:p w14:paraId="3A981F2A" w14:textId="586CAF71" w:rsidR="00E65BE0" w:rsidRPr="002B15D1" w:rsidRDefault="00E65BE0">
            <w:pPr>
              <w:cnfStyle w:val="000000010000" w:firstRow="0" w:lastRow="0" w:firstColumn="0" w:lastColumn="0" w:oddVBand="0" w:evenVBand="0" w:oddHBand="0" w:evenHBand="1" w:firstRowFirstColumn="0" w:firstRowLastColumn="0" w:lastRowFirstColumn="0" w:lastRowLastColumn="0"/>
              <w:rPr>
                <w:rFonts w:ascii="Calibri" w:hAnsi="Calibri"/>
                <w:sz w:val="23"/>
                <w:szCs w:val="23"/>
              </w:rPr>
            </w:pPr>
            <w:r>
              <w:rPr>
                <w:rFonts w:ascii="Calibri" w:hAnsi="Calibri"/>
                <w:sz w:val="23"/>
                <w:szCs w:val="23"/>
              </w:rPr>
              <w:t>-Team of who establishes such clinical guidelines may have other conflicting interests as many of the people responsible for this guideline have received financial incentives from various pharmaceutical or biotech companies</w:t>
            </w:r>
          </w:p>
        </w:tc>
      </w:tr>
    </w:tbl>
    <w:p w14:paraId="28445EC0" w14:textId="6D234BAA" w:rsidR="002B15D1" w:rsidRPr="002B15D1" w:rsidRDefault="002B15D1">
      <w:pPr>
        <w:rPr>
          <w:rFonts w:ascii="Calibri" w:hAnsi="Calibri"/>
          <w:sz w:val="23"/>
          <w:szCs w:val="23"/>
        </w:rPr>
      </w:pPr>
    </w:p>
    <w:p w14:paraId="27EC268A" w14:textId="2A46C37C" w:rsidR="00633CF7" w:rsidRPr="00806647" w:rsidRDefault="00633CF7" w:rsidP="00633CF7">
      <w:pPr>
        <w:rPr>
          <w:rFonts w:ascii="Calibri" w:eastAsiaTheme="minorHAnsi" w:hAnsi="Calibri"/>
          <w:b/>
          <w:sz w:val="23"/>
          <w:szCs w:val="23"/>
        </w:rPr>
      </w:pPr>
      <w:r w:rsidRPr="00806647">
        <w:rPr>
          <w:rFonts w:ascii="Calibri" w:eastAsiaTheme="minorHAnsi" w:hAnsi="Calibri"/>
          <w:b/>
          <w:sz w:val="23"/>
          <w:szCs w:val="23"/>
          <w:u w:val="single"/>
        </w:rPr>
        <w:t>Conclusion</w:t>
      </w:r>
      <w:r w:rsidR="00806647" w:rsidRPr="00806647">
        <w:rPr>
          <w:rFonts w:ascii="Calibri" w:eastAsiaTheme="minorHAnsi" w:hAnsi="Calibri"/>
          <w:b/>
          <w:sz w:val="23"/>
          <w:szCs w:val="23"/>
          <w:u w:val="single"/>
        </w:rPr>
        <w:t>s</w:t>
      </w:r>
      <w:r w:rsidRPr="00806647">
        <w:rPr>
          <w:rFonts w:ascii="Calibri" w:eastAsiaTheme="minorHAnsi" w:hAnsi="Calibri"/>
          <w:b/>
          <w:sz w:val="23"/>
          <w:szCs w:val="23"/>
        </w:rPr>
        <w:t>:</w:t>
      </w:r>
    </w:p>
    <w:p w14:paraId="55FDBDD4" w14:textId="4FE0CF7D" w:rsidR="00D75D21" w:rsidRPr="00D75D21" w:rsidRDefault="00D75D21" w:rsidP="00D75D21">
      <w:pPr>
        <w:rPr>
          <w:rFonts w:ascii="Calibri" w:eastAsia="Times New Roman" w:hAnsi="Calibri" w:cs="Arial"/>
          <w:sz w:val="23"/>
          <w:szCs w:val="23"/>
        </w:rPr>
      </w:pPr>
      <w:r w:rsidRPr="00D75D21">
        <w:rPr>
          <w:rFonts w:ascii="Calibri" w:eastAsia="Times New Roman" w:hAnsi="Calibri" w:cs="Arial"/>
          <w:sz w:val="23"/>
          <w:szCs w:val="23"/>
        </w:rPr>
        <w:t>Fink</w:t>
      </w:r>
      <w:r>
        <w:rPr>
          <w:rFonts w:ascii="Calibri" w:eastAsia="Times New Roman" w:hAnsi="Calibri" w:cs="Arial"/>
          <w:sz w:val="23"/>
          <w:szCs w:val="23"/>
        </w:rPr>
        <w:t>,</w:t>
      </w:r>
      <w:r w:rsidRPr="00D75D21">
        <w:rPr>
          <w:rFonts w:ascii="Calibri" w:eastAsia="Times New Roman" w:hAnsi="Calibri" w:cs="Arial"/>
          <w:sz w:val="23"/>
          <w:szCs w:val="23"/>
        </w:rPr>
        <w:t xml:space="preserve"> et al.</w:t>
      </w:r>
      <w:r>
        <w:rPr>
          <w:rFonts w:ascii="Calibri" w:eastAsia="Times New Roman" w:hAnsi="Calibri" w:cs="Arial"/>
          <w:sz w:val="23"/>
          <w:szCs w:val="23"/>
        </w:rPr>
        <w:t>,</w:t>
      </w:r>
      <w:r w:rsidRPr="00D75D21">
        <w:rPr>
          <w:rFonts w:ascii="Calibri" w:eastAsia="Times New Roman" w:hAnsi="Calibri" w:cs="Arial"/>
          <w:sz w:val="23"/>
          <w:szCs w:val="23"/>
        </w:rPr>
        <w:t xml:space="preserve"> demonstrated that in female patients with personal history of </w:t>
      </w:r>
      <w:r w:rsidRPr="00D75D21">
        <w:rPr>
          <w:rFonts w:ascii="Calibri" w:hAnsi="Calibri" w:hint="eastAsia"/>
          <w:sz w:val="23"/>
          <w:szCs w:val="23"/>
        </w:rPr>
        <w:t xml:space="preserve">osteopenia or osteoporosis, 4 years of alendronate compared with placebo was associated with reduced radiographic vertebral fractures but did not significantly reduce </w:t>
      </w:r>
      <w:proofErr w:type="spellStart"/>
      <w:r w:rsidRPr="00D75D21">
        <w:rPr>
          <w:rFonts w:ascii="Calibri" w:hAnsi="Calibri" w:hint="eastAsia"/>
          <w:sz w:val="23"/>
          <w:szCs w:val="23"/>
        </w:rPr>
        <w:t>nonvertebral</w:t>
      </w:r>
      <w:proofErr w:type="spellEnd"/>
      <w:r w:rsidRPr="00D75D21">
        <w:rPr>
          <w:rFonts w:ascii="Calibri" w:hAnsi="Calibri" w:hint="eastAsia"/>
          <w:sz w:val="23"/>
          <w:szCs w:val="23"/>
        </w:rPr>
        <w:t xml:space="preserve"> or hip fractures</w:t>
      </w:r>
      <w:r w:rsidRPr="00D75D21">
        <w:rPr>
          <w:rFonts w:ascii="Calibri" w:hAnsi="Calibri"/>
          <w:sz w:val="23"/>
          <w:szCs w:val="23"/>
        </w:rPr>
        <w:t xml:space="preserve">. Although rare, long-term </w:t>
      </w:r>
      <w:r w:rsidRPr="00D75D21">
        <w:rPr>
          <w:rFonts w:ascii="Calibri" w:hAnsi="Calibri" w:hint="eastAsia"/>
          <w:sz w:val="23"/>
          <w:szCs w:val="23"/>
        </w:rPr>
        <w:t xml:space="preserve">bisphosphonate treatment may increase risk of atypical femoral fracture, </w:t>
      </w:r>
      <w:proofErr w:type="spellStart"/>
      <w:r w:rsidRPr="00D75D21">
        <w:rPr>
          <w:rFonts w:ascii="Calibri" w:hAnsi="Calibri" w:hint="eastAsia"/>
          <w:sz w:val="23"/>
          <w:szCs w:val="23"/>
        </w:rPr>
        <w:t>subtrochanteric</w:t>
      </w:r>
      <w:proofErr w:type="spellEnd"/>
      <w:r w:rsidRPr="00D75D21">
        <w:rPr>
          <w:rFonts w:ascii="Calibri" w:hAnsi="Calibri" w:hint="eastAsia"/>
          <w:sz w:val="23"/>
          <w:szCs w:val="23"/>
        </w:rPr>
        <w:t>/femoral shaft fractures, or osteonecrosis of the jaw. In addition, continuing bisphosphonate treatment beyond 3-5 years may reduce risk of developing vertebral fractures</w:t>
      </w:r>
      <w:r w:rsidRPr="00D75D21">
        <w:rPr>
          <w:rFonts w:ascii="Calibri" w:hAnsi="Calibri"/>
          <w:sz w:val="23"/>
          <w:szCs w:val="23"/>
        </w:rPr>
        <w:t>.</w:t>
      </w:r>
    </w:p>
    <w:p w14:paraId="298F37C7" w14:textId="77777777" w:rsidR="00633CF7" w:rsidRPr="00D75D21" w:rsidRDefault="00633CF7" w:rsidP="00633CF7">
      <w:pPr>
        <w:rPr>
          <w:rFonts w:ascii="Calibri" w:eastAsia="Times New Roman" w:hAnsi="Calibri" w:cs="Arial"/>
          <w:sz w:val="23"/>
          <w:szCs w:val="23"/>
        </w:rPr>
      </w:pPr>
    </w:p>
    <w:p w14:paraId="7BB1556B" w14:textId="7E84DBA7" w:rsidR="00D75D21" w:rsidRPr="00D75D21" w:rsidRDefault="00D75D21" w:rsidP="00D75D21">
      <w:pPr>
        <w:rPr>
          <w:rFonts w:ascii="Calibri" w:eastAsia="Times New Roman" w:hAnsi="Calibri" w:cs="Arial"/>
          <w:sz w:val="23"/>
          <w:szCs w:val="23"/>
        </w:rPr>
      </w:pPr>
      <w:r w:rsidRPr="00D75D21">
        <w:rPr>
          <w:rFonts w:ascii="Calibri" w:eastAsia="Times New Roman" w:hAnsi="Calibri" w:cs="Arial"/>
          <w:sz w:val="23"/>
          <w:szCs w:val="23"/>
        </w:rPr>
        <w:t>Dennison</w:t>
      </w:r>
      <w:r>
        <w:rPr>
          <w:rFonts w:ascii="Calibri" w:eastAsia="Times New Roman" w:hAnsi="Calibri" w:cs="Arial"/>
          <w:sz w:val="23"/>
          <w:szCs w:val="23"/>
        </w:rPr>
        <w:t>,</w:t>
      </w:r>
      <w:r w:rsidRPr="00D75D21">
        <w:rPr>
          <w:rFonts w:ascii="Calibri" w:eastAsia="Times New Roman" w:hAnsi="Calibri" w:cs="Arial"/>
          <w:sz w:val="23"/>
          <w:szCs w:val="23"/>
        </w:rPr>
        <w:t xml:space="preserve"> et al.</w:t>
      </w:r>
      <w:r>
        <w:rPr>
          <w:rFonts w:ascii="Calibri" w:eastAsia="Times New Roman" w:hAnsi="Calibri" w:cs="Arial"/>
          <w:sz w:val="23"/>
          <w:szCs w:val="23"/>
        </w:rPr>
        <w:t>,</w:t>
      </w:r>
      <w:r w:rsidRPr="00D75D21">
        <w:rPr>
          <w:rFonts w:ascii="Calibri" w:eastAsia="Times New Roman" w:hAnsi="Calibri" w:cs="Arial"/>
          <w:sz w:val="23"/>
          <w:szCs w:val="23"/>
        </w:rPr>
        <w:t xml:space="preserve"> demonstrated that it is </w:t>
      </w:r>
      <w:r w:rsidRPr="00D75D21">
        <w:rPr>
          <w:rFonts w:ascii="Calibri" w:hAnsi="Calibri" w:hint="eastAsia"/>
          <w:sz w:val="23"/>
          <w:szCs w:val="23"/>
        </w:rPr>
        <w:t>important to continue therapy among women with high risk of fracture due to increased fracture incidence after stopping therapy</w:t>
      </w:r>
      <w:r w:rsidRPr="00D75D21">
        <w:rPr>
          <w:rFonts w:ascii="Calibri" w:hAnsi="Calibri"/>
          <w:sz w:val="23"/>
          <w:szCs w:val="23"/>
        </w:rPr>
        <w:t xml:space="preserve">. </w:t>
      </w:r>
      <w:r w:rsidRPr="00D75D21">
        <w:rPr>
          <w:rFonts w:ascii="Calibri" w:hAnsi="Calibri" w:hint="eastAsia"/>
          <w:sz w:val="23"/>
          <w:szCs w:val="23"/>
        </w:rPr>
        <w:t>The decision to stop bisphosphonate use should take into consideration the clinical risk factors that determine risk of recurring fragility fractures</w:t>
      </w:r>
      <w:r w:rsidRPr="00D75D21">
        <w:rPr>
          <w:rFonts w:ascii="Calibri" w:hAnsi="Calibri"/>
          <w:sz w:val="23"/>
          <w:szCs w:val="23"/>
        </w:rPr>
        <w:t xml:space="preserve">. </w:t>
      </w:r>
      <w:r w:rsidRPr="00D75D21">
        <w:rPr>
          <w:rFonts w:ascii="Calibri" w:hAnsi="Calibri" w:hint="eastAsia"/>
          <w:sz w:val="23"/>
          <w:szCs w:val="23"/>
        </w:rPr>
        <w:t>Over 50% of patients will stop therapy after 2 years and most providers stop such therapy after 3-5 years due to risk of developing atypical femoral fracture and osteonecrosis of the jaw</w:t>
      </w:r>
      <w:r w:rsidRPr="00D75D21">
        <w:rPr>
          <w:rFonts w:ascii="Calibri" w:hAnsi="Calibri"/>
          <w:sz w:val="23"/>
          <w:szCs w:val="23"/>
        </w:rPr>
        <w:t xml:space="preserve"> but this risk</w:t>
      </w:r>
      <w:r w:rsidRPr="00D75D21">
        <w:rPr>
          <w:rFonts w:ascii="Calibri" w:hAnsi="Calibri" w:hint="eastAsia"/>
          <w:sz w:val="23"/>
          <w:szCs w:val="23"/>
        </w:rPr>
        <w:t xml:space="preserve"> remains less than 1/1000 patients in those treated for up to 10 years</w:t>
      </w:r>
      <w:r w:rsidRPr="00D75D21">
        <w:rPr>
          <w:rFonts w:ascii="Calibri" w:hAnsi="Calibri"/>
          <w:sz w:val="23"/>
          <w:szCs w:val="23"/>
        </w:rPr>
        <w:t>.</w:t>
      </w:r>
    </w:p>
    <w:p w14:paraId="011ECFA4" w14:textId="77777777" w:rsidR="00D75D21" w:rsidRDefault="00D75D21" w:rsidP="00633CF7">
      <w:pPr>
        <w:rPr>
          <w:rFonts w:ascii="Calibri" w:eastAsia="Times New Roman" w:hAnsi="Calibri" w:cs="Arial"/>
          <w:sz w:val="23"/>
          <w:szCs w:val="23"/>
        </w:rPr>
      </w:pPr>
    </w:p>
    <w:p w14:paraId="59C44517" w14:textId="658EA8EB" w:rsidR="00D75D21" w:rsidRDefault="00D75D21" w:rsidP="00D75D21">
      <w:pPr>
        <w:rPr>
          <w:rFonts w:ascii="Calibri" w:hAnsi="Calibri"/>
          <w:sz w:val="23"/>
          <w:szCs w:val="23"/>
        </w:rPr>
      </w:pPr>
      <w:proofErr w:type="spellStart"/>
      <w:r>
        <w:rPr>
          <w:rFonts w:ascii="Calibri" w:hAnsi="Calibri"/>
          <w:sz w:val="23"/>
          <w:szCs w:val="23"/>
        </w:rPr>
        <w:t>Nayak</w:t>
      </w:r>
      <w:proofErr w:type="spellEnd"/>
      <w:r>
        <w:rPr>
          <w:rFonts w:ascii="Calibri" w:hAnsi="Calibri"/>
          <w:sz w:val="23"/>
          <w:szCs w:val="23"/>
        </w:rPr>
        <w:t xml:space="preserve">, et al., demonstrated that there is no significant difference in risk of hip fracture or any clinical fracture in patients who discontinue bisphosphonate use as compared to persistent users after 3 years. However, for </w:t>
      </w:r>
      <w:r w:rsidR="00420B60">
        <w:rPr>
          <w:rFonts w:ascii="Calibri" w:hAnsi="Calibri"/>
          <w:sz w:val="23"/>
          <w:szCs w:val="23"/>
        </w:rPr>
        <w:t>high-risk</w:t>
      </w:r>
      <w:r>
        <w:rPr>
          <w:rFonts w:ascii="Calibri" w:hAnsi="Calibri"/>
          <w:sz w:val="23"/>
          <w:szCs w:val="23"/>
        </w:rPr>
        <w:t xml:space="preserve"> patients, there is reduced risk of clinical vertebral fracture with 10 years of therapy with alendronate (as compared to 5</w:t>
      </w:r>
      <w:r w:rsidR="007E1427">
        <w:rPr>
          <w:rFonts w:ascii="Calibri" w:hAnsi="Calibri"/>
          <w:sz w:val="23"/>
          <w:szCs w:val="23"/>
        </w:rPr>
        <w:t xml:space="preserve"> years</w:t>
      </w:r>
      <w:r>
        <w:rPr>
          <w:rFonts w:ascii="Calibri" w:hAnsi="Calibri"/>
          <w:sz w:val="23"/>
          <w:szCs w:val="23"/>
        </w:rPr>
        <w:t xml:space="preserve">), and reduced risk of morphometric vertebral fracture with 6 years of therapy with </w:t>
      </w:r>
      <w:proofErr w:type="spellStart"/>
      <w:r>
        <w:rPr>
          <w:rFonts w:ascii="Calibri" w:hAnsi="Calibri"/>
          <w:sz w:val="23"/>
          <w:szCs w:val="23"/>
        </w:rPr>
        <w:t>zoledronic</w:t>
      </w:r>
      <w:proofErr w:type="spellEnd"/>
      <w:r>
        <w:rPr>
          <w:rFonts w:ascii="Calibri" w:hAnsi="Calibri"/>
          <w:sz w:val="23"/>
          <w:szCs w:val="23"/>
        </w:rPr>
        <w:t xml:space="preserve"> acid (as compared to 3</w:t>
      </w:r>
      <w:r w:rsidR="007E1427">
        <w:rPr>
          <w:rFonts w:ascii="Calibri" w:hAnsi="Calibri"/>
          <w:sz w:val="23"/>
          <w:szCs w:val="23"/>
        </w:rPr>
        <w:t xml:space="preserve"> years</w:t>
      </w:r>
      <w:r>
        <w:rPr>
          <w:rFonts w:ascii="Calibri" w:hAnsi="Calibri"/>
          <w:sz w:val="23"/>
          <w:szCs w:val="23"/>
        </w:rPr>
        <w:t xml:space="preserve">). </w:t>
      </w:r>
    </w:p>
    <w:p w14:paraId="70205954" w14:textId="77777777" w:rsidR="00D75D21" w:rsidRDefault="00D75D21" w:rsidP="00D75D21">
      <w:pPr>
        <w:rPr>
          <w:rFonts w:ascii="Calibri" w:hAnsi="Calibri"/>
          <w:sz w:val="23"/>
          <w:szCs w:val="23"/>
        </w:rPr>
      </w:pPr>
    </w:p>
    <w:p w14:paraId="7F60B5BC" w14:textId="3993CF1F" w:rsidR="00D75D21" w:rsidRDefault="00D75D21" w:rsidP="00D75D21">
      <w:pPr>
        <w:rPr>
          <w:rFonts w:ascii="Calibri" w:hAnsi="Calibri"/>
          <w:sz w:val="23"/>
          <w:szCs w:val="23"/>
        </w:rPr>
      </w:pPr>
      <w:r>
        <w:rPr>
          <w:rFonts w:ascii="Calibri" w:hAnsi="Calibri"/>
          <w:sz w:val="23"/>
          <w:szCs w:val="23"/>
        </w:rPr>
        <w:t xml:space="preserve">Erikson, et al., demonstrated that </w:t>
      </w:r>
      <w:r w:rsidR="00F240C0">
        <w:rPr>
          <w:rFonts w:ascii="Calibri" w:hAnsi="Calibri" w:hint="eastAsia"/>
          <w:sz w:val="23"/>
          <w:szCs w:val="23"/>
        </w:rPr>
        <w:t>p</w:t>
      </w:r>
      <w:r w:rsidRPr="000D046F">
        <w:rPr>
          <w:rFonts w:ascii="Calibri" w:hAnsi="Calibri" w:hint="eastAsia"/>
          <w:sz w:val="23"/>
          <w:szCs w:val="23"/>
        </w:rPr>
        <w:t>atients with low femoral neck scores (T-score &lt; -2.5) after 3-5 years of treatment are still at increased risk of verteb</w:t>
      </w:r>
      <w:r>
        <w:rPr>
          <w:rFonts w:ascii="Calibri" w:hAnsi="Calibri" w:hint="eastAsia"/>
          <w:sz w:val="23"/>
          <w:szCs w:val="23"/>
        </w:rPr>
        <w:t>ral fractures and may benefit from</w:t>
      </w:r>
      <w:r w:rsidRPr="000D046F">
        <w:rPr>
          <w:rFonts w:ascii="Calibri" w:hAnsi="Calibri" w:hint="eastAsia"/>
          <w:sz w:val="23"/>
          <w:szCs w:val="23"/>
        </w:rPr>
        <w:t xml:space="preserve"> </w:t>
      </w:r>
      <w:r>
        <w:rPr>
          <w:rFonts w:ascii="Calibri" w:hAnsi="Calibri"/>
          <w:sz w:val="23"/>
          <w:szCs w:val="23"/>
        </w:rPr>
        <w:t>continued</w:t>
      </w:r>
      <w:r w:rsidRPr="000D046F">
        <w:rPr>
          <w:rFonts w:ascii="Calibri" w:hAnsi="Calibri" w:hint="eastAsia"/>
          <w:sz w:val="23"/>
          <w:szCs w:val="23"/>
        </w:rPr>
        <w:t xml:space="preserve"> bisphosphonate therapy</w:t>
      </w:r>
      <w:r>
        <w:rPr>
          <w:rFonts w:ascii="Calibri" w:hAnsi="Calibri"/>
          <w:sz w:val="23"/>
          <w:szCs w:val="23"/>
        </w:rPr>
        <w:t xml:space="preserve">, especially with </w:t>
      </w:r>
      <w:r w:rsidRPr="000D046F">
        <w:rPr>
          <w:rFonts w:ascii="Calibri" w:hAnsi="Calibri" w:hint="eastAsia"/>
          <w:sz w:val="23"/>
          <w:szCs w:val="23"/>
        </w:rPr>
        <w:t>alendronate</w:t>
      </w:r>
      <w:r>
        <w:rPr>
          <w:rFonts w:ascii="Calibri" w:hAnsi="Calibri"/>
          <w:sz w:val="23"/>
          <w:szCs w:val="23"/>
        </w:rPr>
        <w:t xml:space="preserve">, which has been associated with continued vertebral fracture risk reduction. Ultimately, </w:t>
      </w:r>
      <w:r>
        <w:rPr>
          <w:rFonts w:ascii="Calibri" w:hAnsi="Calibri" w:hint="eastAsia"/>
          <w:sz w:val="23"/>
          <w:szCs w:val="23"/>
        </w:rPr>
        <w:t>l</w:t>
      </w:r>
      <w:r w:rsidRPr="000D046F">
        <w:rPr>
          <w:rFonts w:ascii="Calibri" w:hAnsi="Calibri" w:hint="eastAsia"/>
          <w:sz w:val="23"/>
          <w:szCs w:val="23"/>
        </w:rPr>
        <w:t>ong</w:t>
      </w:r>
      <w:r>
        <w:rPr>
          <w:rFonts w:ascii="Calibri" w:hAnsi="Calibri" w:hint="eastAsia"/>
          <w:sz w:val="23"/>
          <w:szCs w:val="23"/>
        </w:rPr>
        <w:t>-term use of bisphosphonates is</w:t>
      </w:r>
      <w:r w:rsidRPr="000D046F">
        <w:rPr>
          <w:rFonts w:ascii="Calibri" w:hAnsi="Calibri" w:hint="eastAsia"/>
          <w:sz w:val="23"/>
          <w:szCs w:val="23"/>
        </w:rPr>
        <w:t xml:space="preserve"> not associated with any adverse</w:t>
      </w:r>
      <w:r w:rsidRPr="000D046F">
        <w:rPr>
          <w:rFonts w:ascii="Calibri" w:hAnsi="Calibri"/>
          <w:sz w:val="23"/>
          <w:szCs w:val="23"/>
        </w:rPr>
        <w:t xml:space="preserve"> effects and tolerability remains favorable</w:t>
      </w:r>
      <w:r>
        <w:rPr>
          <w:rFonts w:ascii="Calibri" w:hAnsi="Calibri"/>
          <w:sz w:val="23"/>
          <w:szCs w:val="23"/>
        </w:rPr>
        <w:t>.</w:t>
      </w:r>
    </w:p>
    <w:p w14:paraId="28B120BE" w14:textId="4A1B2E7E" w:rsidR="00D75D21" w:rsidRDefault="00D75D21" w:rsidP="00D75D21">
      <w:pPr>
        <w:rPr>
          <w:rFonts w:ascii="Calibri" w:hAnsi="Calibri"/>
          <w:sz w:val="23"/>
          <w:szCs w:val="23"/>
        </w:rPr>
      </w:pPr>
    </w:p>
    <w:p w14:paraId="20A7888F" w14:textId="0C9E07AA" w:rsidR="008818E9" w:rsidRDefault="008818E9" w:rsidP="008818E9">
      <w:pPr>
        <w:rPr>
          <w:rFonts w:ascii="Calibri" w:hAnsi="Calibri"/>
          <w:sz w:val="23"/>
          <w:szCs w:val="23"/>
        </w:rPr>
      </w:pPr>
      <w:r>
        <w:rPr>
          <w:rFonts w:ascii="Calibri" w:hAnsi="Calibri"/>
          <w:sz w:val="23"/>
          <w:szCs w:val="23"/>
        </w:rPr>
        <w:t xml:space="preserve">Villa, et al., demonstrated that the use of alendronate, </w:t>
      </w:r>
      <w:proofErr w:type="spellStart"/>
      <w:r>
        <w:rPr>
          <w:rFonts w:ascii="Calibri" w:hAnsi="Calibri"/>
          <w:sz w:val="23"/>
          <w:szCs w:val="23"/>
        </w:rPr>
        <w:t>risedronate</w:t>
      </w:r>
      <w:proofErr w:type="spellEnd"/>
      <w:r>
        <w:rPr>
          <w:rFonts w:ascii="Calibri" w:hAnsi="Calibri"/>
          <w:sz w:val="23"/>
          <w:szCs w:val="23"/>
        </w:rPr>
        <w:t xml:space="preserve">, </w:t>
      </w:r>
      <w:proofErr w:type="spellStart"/>
      <w:proofErr w:type="gramStart"/>
      <w:r>
        <w:rPr>
          <w:rFonts w:ascii="Calibri" w:hAnsi="Calibri"/>
          <w:sz w:val="23"/>
          <w:szCs w:val="23"/>
        </w:rPr>
        <w:t>ibandronate</w:t>
      </w:r>
      <w:proofErr w:type="spellEnd"/>
      <w:proofErr w:type="gramEnd"/>
      <w:r>
        <w:rPr>
          <w:rFonts w:ascii="Calibri" w:hAnsi="Calibri"/>
          <w:sz w:val="23"/>
          <w:szCs w:val="23"/>
        </w:rPr>
        <w:t xml:space="preserve">, </w:t>
      </w:r>
      <w:proofErr w:type="spellStart"/>
      <w:r>
        <w:rPr>
          <w:rFonts w:ascii="Calibri" w:hAnsi="Calibri"/>
          <w:sz w:val="23"/>
          <w:szCs w:val="23"/>
        </w:rPr>
        <w:t>zoledronic</w:t>
      </w:r>
      <w:proofErr w:type="spellEnd"/>
      <w:r>
        <w:rPr>
          <w:rFonts w:ascii="Calibri" w:hAnsi="Calibri"/>
          <w:sz w:val="23"/>
          <w:szCs w:val="23"/>
        </w:rPr>
        <w:t xml:space="preserve"> acid are associated with significantly lower risk for fractures in the short run. Discontinuation of bisphosphonate use for up to 5 years does not significant increase fracture risk for women with low risk but women with high risk of clinical fracture may benefit from continued bisphosphonate use. There is no evidence linking long-term bisphosphonate use to developing osteonecrosis of the jaw, atypical femoral fractures, or esophageal cancer. </w:t>
      </w:r>
    </w:p>
    <w:p w14:paraId="28A39FE3" w14:textId="77777777" w:rsidR="008818E9" w:rsidRDefault="008818E9" w:rsidP="008818E9">
      <w:pPr>
        <w:rPr>
          <w:rFonts w:ascii="Calibri" w:hAnsi="Calibri"/>
          <w:sz w:val="23"/>
          <w:szCs w:val="23"/>
        </w:rPr>
      </w:pPr>
    </w:p>
    <w:p w14:paraId="6B22C3D9" w14:textId="06071472" w:rsidR="008818E9" w:rsidRDefault="008818E9" w:rsidP="008818E9">
      <w:pPr>
        <w:rPr>
          <w:rFonts w:ascii="Calibri" w:hAnsi="Calibri"/>
          <w:sz w:val="23"/>
          <w:szCs w:val="23"/>
        </w:rPr>
      </w:pPr>
      <w:r>
        <w:rPr>
          <w:rFonts w:ascii="Calibri" w:hAnsi="Calibri"/>
          <w:sz w:val="23"/>
          <w:szCs w:val="23"/>
        </w:rPr>
        <w:t xml:space="preserve">The AACE/ACE recommend that all women aged 50 and above should be evaluated for osteoporosis risk through taking a detailed history, physical exam, and using the FRAX tool. </w:t>
      </w:r>
      <w:proofErr w:type="gramStart"/>
      <w:r>
        <w:rPr>
          <w:rFonts w:ascii="Calibri" w:hAnsi="Calibri"/>
          <w:sz w:val="23"/>
          <w:szCs w:val="23"/>
        </w:rPr>
        <w:t>Pharmacotherapy is strongly recommended for patients with T-score of -2.5 or lower</w:t>
      </w:r>
      <w:proofErr w:type="gramEnd"/>
      <w:r>
        <w:rPr>
          <w:rFonts w:ascii="Calibri" w:hAnsi="Calibri"/>
          <w:sz w:val="23"/>
          <w:szCs w:val="23"/>
        </w:rPr>
        <w:t xml:space="preserve"> in spine, femoral neck, total hip Treatment efficacy is monitored by obtaining baseline axial spine/hip DXA. They recommend bisphosphonate holiday after 5 years of stability in moderately risk patients and in 6-10 years in higher-risk patients. </w:t>
      </w:r>
    </w:p>
    <w:p w14:paraId="579DB310" w14:textId="77777777" w:rsidR="008818E9" w:rsidRDefault="008818E9" w:rsidP="008818E9">
      <w:pPr>
        <w:rPr>
          <w:rFonts w:ascii="Calibri" w:hAnsi="Calibri"/>
          <w:sz w:val="23"/>
          <w:szCs w:val="23"/>
        </w:rPr>
      </w:pPr>
    </w:p>
    <w:p w14:paraId="16599435" w14:textId="6C4C59C3" w:rsidR="008818E9" w:rsidRDefault="00806647" w:rsidP="008818E9">
      <w:pPr>
        <w:rPr>
          <w:rFonts w:ascii="Calibri" w:hAnsi="Calibri"/>
          <w:sz w:val="23"/>
          <w:szCs w:val="23"/>
        </w:rPr>
      </w:pPr>
      <w:r>
        <w:rPr>
          <w:rFonts w:ascii="Calibri" w:hAnsi="Calibri"/>
          <w:sz w:val="23"/>
          <w:szCs w:val="23"/>
        </w:rPr>
        <w:t xml:space="preserve">In conclusion, </w:t>
      </w:r>
      <w:r w:rsidR="00D01F6E">
        <w:rPr>
          <w:rFonts w:ascii="Calibri" w:hAnsi="Calibri"/>
          <w:sz w:val="23"/>
          <w:szCs w:val="23"/>
        </w:rPr>
        <w:t xml:space="preserve">there is little to no evidence supporting the continuation of long-term bisphosphonate therapy in low risk individuals, especially for patients with femoral neck T score above -2.0. Long-term bisphosphonate use is not associated with increased risk of developing osteonecrosis of the jaw, atypical femoral fractures, and esophageal cancer. However, </w:t>
      </w:r>
      <w:r w:rsidR="00C67EE2" w:rsidRPr="00D75D21">
        <w:rPr>
          <w:rFonts w:ascii="Calibri" w:eastAsia="Times New Roman" w:hAnsi="Calibri" w:cs="Arial"/>
          <w:sz w:val="23"/>
          <w:szCs w:val="23"/>
        </w:rPr>
        <w:t xml:space="preserve">is </w:t>
      </w:r>
      <w:r w:rsidR="00C67EE2" w:rsidRPr="00D75D21">
        <w:rPr>
          <w:rFonts w:ascii="Calibri" w:hAnsi="Calibri" w:hint="eastAsia"/>
          <w:sz w:val="23"/>
          <w:szCs w:val="23"/>
        </w:rPr>
        <w:t>important to continue therapy among women with high risk of fracture due to increased fracture incidence after stopping therapy</w:t>
      </w:r>
      <w:r w:rsidR="00C67EE2">
        <w:rPr>
          <w:rFonts w:ascii="Calibri" w:hAnsi="Calibri"/>
          <w:sz w:val="23"/>
          <w:szCs w:val="23"/>
        </w:rPr>
        <w:t xml:space="preserve">. The ideal length of bisphosphonate use should be individualized based on age, comorbidities, T-score, fracture risk, and response to treatment. </w:t>
      </w:r>
      <w:r w:rsidR="008818E9">
        <w:rPr>
          <w:rFonts w:ascii="Calibri" w:hAnsi="Calibri"/>
          <w:sz w:val="23"/>
          <w:szCs w:val="23"/>
        </w:rPr>
        <w:t xml:space="preserve">Ending of bisphosphonate holiday </w:t>
      </w:r>
      <w:r w:rsidR="00C67EE2">
        <w:rPr>
          <w:rFonts w:ascii="Calibri" w:hAnsi="Calibri"/>
          <w:sz w:val="23"/>
          <w:szCs w:val="23"/>
        </w:rPr>
        <w:t xml:space="preserve">is based on individual patient, as </w:t>
      </w:r>
      <w:r w:rsidR="008818E9">
        <w:rPr>
          <w:rFonts w:ascii="Calibri" w:hAnsi="Calibri"/>
          <w:sz w:val="23"/>
          <w:szCs w:val="23"/>
        </w:rPr>
        <w:t xml:space="preserve">optimal duration of such </w:t>
      </w:r>
      <w:r w:rsidR="00C67EE2">
        <w:rPr>
          <w:rFonts w:ascii="Calibri" w:hAnsi="Calibri"/>
          <w:sz w:val="23"/>
          <w:szCs w:val="23"/>
        </w:rPr>
        <w:t>holiday is still not established for a generalized population.</w:t>
      </w:r>
    </w:p>
    <w:p w14:paraId="25A5A3B9" w14:textId="77777777" w:rsidR="00633CF7" w:rsidRPr="004D1C60" w:rsidRDefault="00633CF7" w:rsidP="00633CF7">
      <w:pPr>
        <w:rPr>
          <w:rFonts w:ascii="Calibri" w:eastAsia="Times New Roman" w:hAnsi="Calibri" w:cs="Arial"/>
          <w:sz w:val="22"/>
          <w:szCs w:val="22"/>
        </w:rPr>
      </w:pPr>
    </w:p>
    <w:p w14:paraId="5E86C33A" w14:textId="77777777" w:rsidR="00633CF7" w:rsidRPr="004D1C60" w:rsidRDefault="00633CF7" w:rsidP="00633CF7">
      <w:pPr>
        <w:rPr>
          <w:rFonts w:ascii="Calibri" w:hAnsi="Calibri" w:cs="Arial"/>
          <w:b/>
          <w:sz w:val="23"/>
          <w:szCs w:val="23"/>
        </w:rPr>
      </w:pPr>
      <w:r w:rsidRPr="004D1C60">
        <w:rPr>
          <w:rFonts w:ascii="Calibri" w:hAnsi="Calibri" w:cs="Arial"/>
          <w:b/>
          <w:sz w:val="23"/>
          <w:szCs w:val="23"/>
          <w:u w:val="single"/>
        </w:rPr>
        <w:t>Clinical Bottom Line</w:t>
      </w:r>
      <w:r w:rsidRPr="004D1C60">
        <w:rPr>
          <w:rFonts w:ascii="Calibri" w:hAnsi="Calibri" w:cs="Arial"/>
          <w:b/>
          <w:sz w:val="23"/>
          <w:szCs w:val="23"/>
        </w:rPr>
        <w:t>:</w:t>
      </w:r>
    </w:p>
    <w:p w14:paraId="19F16797" w14:textId="0E31E5C7" w:rsidR="00EE4645" w:rsidRPr="00EE4645" w:rsidRDefault="00EE4645" w:rsidP="00EE4645">
      <w:pPr>
        <w:widowControl w:val="0"/>
        <w:autoSpaceDE w:val="0"/>
        <w:autoSpaceDN w:val="0"/>
        <w:adjustRightInd w:val="0"/>
        <w:rPr>
          <w:rFonts w:ascii="Calibri" w:hAnsi="Calibri" w:cs="AppleSystemUIFont"/>
          <w:color w:val="353535"/>
          <w:sz w:val="23"/>
          <w:szCs w:val="23"/>
        </w:rPr>
      </w:pPr>
      <w:r w:rsidRPr="00EE4645">
        <w:rPr>
          <w:rFonts w:ascii="Calibri" w:hAnsi="Calibri" w:cs="AppleSystemUIFont"/>
          <w:color w:val="353535"/>
          <w:sz w:val="23"/>
          <w:szCs w:val="23"/>
        </w:rPr>
        <w:t xml:space="preserve">The first article is one of the most recent systematic reviews to evaluate the efficacy of long term ODT, harms, and effects on fractures, including a total of 35 RCTs, 13 controlled observational studies, and more. Moreover, the authors looked into variations based on patient demographics and bone/drug characteristics, which is something unique to this study. Although rare, long-term bisphosphonate treatment may increase the risk of atypical femoral fractures, </w:t>
      </w:r>
      <w:proofErr w:type="spellStart"/>
      <w:r w:rsidRPr="00EE4645">
        <w:rPr>
          <w:rFonts w:ascii="Calibri" w:hAnsi="Calibri" w:cs="AppleSystemUIFont"/>
          <w:color w:val="353535"/>
          <w:sz w:val="23"/>
          <w:szCs w:val="23"/>
        </w:rPr>
        <w:t>subtrocha</w:t>
      </w:r>
      <w:r>
        <w:rPr>
          <w:rFonts w:ascii="Calibri" w:hAnsi="Calibri" w:cs="AppleSystemUIFont"/>
          <w:color w:val="353535"/>
          <w:sz w:val="23"/>
          <w:szCs w:val="23"/>
        </w:rPr>
        <w:t>n</w:t>
      </w:r>
      <w:r w:rsidRPr="00EE4645">
        <w:rPr>
          <w:rFonts w:ascii="Calibri" w:hAnsi="Calibri" w:cs="AppleSystemUIFont"/>
          <w:color w:val="353535"/>
          <w:sz w:val="23"/>
          <w:szCs w:val="23"/>
        </w:rPr>
        <w:t>teric</w:t>
      </w:r>
      <w:proofErr w:type="spellEnd"/>
      <w:r w:rsidRPr="00EE4645">
        <w:rPr>
          <w:rFonts w:ascii="Calibri" w:hAnsi="Calibri" w:cs="AppleSystemUIFont"/>
          <w:color w:val="353535"/>
          <w:sz w:val="23"/>
          <w:szCs w:val="23"/>
        </w:rPr>
        <w:t>/femoral shaft fractures, or osteonecrosis of the jaw. However, reporting of harms was not consistent between the studies included and in turn, may reflect the risks of developing such complications.</w:t>
      </w:r>
    </w:p>
    <w:p w14:paraId="5D1FC241" w14:textId="77777777" w:rsidR="00EE4645" w:rsidRPr="00EE4645" w:rsidRDefault="00EE4645" w:rsidP="00EE4645">
      <w:pPr>
        <w:widowControl w:val="0"/>
        <w:autoSpaceDE w:val="0"/>
        <w:autoSpaceDN w:val="0"/>
        <w:adjustRightInd w:val="0"/>
        <w:rPr>
          <w:rFonts w:ascii="Calibri" w:hAnsi="Calibri" w:cs="AppleSystemUIFont"/>
          <w:color w:val="353535"/>
          <w:sz w:val="23"/>
          <w:szCs w:val="23"/>
        </w:rPr>
      </w:pPr>
    </w:p>
    <w:p w14:paraId="266C0C82" w14:textId="77777777" w:rsidR="00EE4645" w:rsidRPr="00EE4645" w:rsidRDefault="00EE4645" w:rsidP="00EE4645">
      <w:pPr>
        <w:widowControl w:val="0"/>
        <w:autoSpaceDE w:val="0"/>
        <w:autoSpaceDN w:val="0"/>
        <w:adjustRightInd w:val="0"/>
        <w:rPr>
          <w:rFonts w:ascii="Calibri" w:hAnsi="Calibri" w:cs="AppleSystemUIFont"/>
          <w:color w:val="353535"/>
          <w:sz w:val="23"/>
          <w:szCs w:val="23"/>
        </w:rPr>
      </w:pPr>
      <w:r w:rsidRPr="00EE4645">
        <w:rPr>
          <w:rFonts w:ascii="Calibri" w:hAnsi="Calibri" w:cs="AppleSystemUIFont"/>
          <w:color w:val="353535"/>
          <w:sz w:val="23"/>
          <w:szCs w:val="23"/>
        </w:rPr>
        <w:t>The second article included a good amount of RCTs in the systematic review, 38 RCTs and several observational studies. The authors acknowledge that current risks of interrupting osteoporosis therapy is poorly studied since a large proportion of patients remain at high risk for fracture development, even after 5 years post-therapy. However, risks of such complications still remain low after those treated for up to 10 years. The authors also acknowledge that there is a limitation in the amount of data readily available in particular subgroups, such as those from different ethnicities or in steroid-induced osteoporosis.</w:t>
      </w:r>
    </w:p>
    <w:p w14:paraId="1A28A95A" w14:textId="77777777" w:rsidR="00EE4645" w:rsidRPr="00EE4645" w:rsidRDefault="00EE4645" w:rsidP="00EE4645">
      <w:pPr>
        <w:widowControl w:val="0"/>
        <w:autoSpaceDE w:val="0"/>
        <w:autoSpaceDN w:val="0"/>
        <w:adjustRightInd w:val="0"/>
        <w:rPr>
          <w:rFonts w:ascii="Calibri" w:hAnsi="Calibri" w:cs="AppleSystemUIFont"/>
          <w:color w:val="353535"/>
          <w:sz w:val="23"/>
          <w:szCs w:val="23"/>
        </w:rPr>
      </w:pPr>
    </w:p>
    <w:p w14:paraId="24F5982C" w14:textId="77777777" w:rsidR="00EE4645" w:rsidRPr="00EE4645" w:rsidRDefault="00EE4645" w:rsidP="00EE4645">
      <w:pPr>
        <w:widowControl w:val="0"/>
        <w:autoSpaceDE w:val="0"/>
        <w:autoSpaceDN w:val="0"/>
        <w:adjustRightInd w:val="0"/>
        <w:rPr>
          <w:rFonts w:ascii="Calibri" w:hAnsi="Calibri" w:cs="AppleSystemUIFont"/>
          <w:color w:val="353535"/>
          <w:sz w:val="23"/>
          <w:szCs w:val="23"/>
        </w:rPr>
      </w:pPr>
      <w:r w:rsidRPr="00EE4645">
        <w:rPr>
          <w:rFonts w:ascii="Calibri" w:hAnsi="Calibri" w:cs="AppleSystemUIFont"/>
          <w:color w:val="353535"/>
          <w:sz w:val="23"/>
          <w:szCs w:val="23"/>
        </w:rPr>
        <w:t xml:space="preserve">Although the third article only included 8 final studies in its systematic review/meta-analysis, which is less than the previous studies, it still provided valuable information in determining that the ideal length of bisphosphonate use should be based on T-score, age, and other risk factors. The majority of its studies evaluated the main bisphosphonate used today (alendronate), thus its conclusions may not be fully generalized to other bisphosphonates. </w:t>
      </w:r>
    </w:p>
    <w:p w14:paraId="7CDB857B" w14:textId="77777777" w:rsidR="00EE4645" w:rsidRPr="00EE4645" w:rsidRDefault="00EE4645" w:rsidP="00EE4645">
      <w:pPr>
        <w:widowControl w:val="0"/>
        <w:autoSpaceDE w:val="0"/>
        <w:autoSpaceDN w:val="0"/>
        <w:adjustRightInd w:val="0"/>
        <w:rPr>
          <w:rFonts w:ascii="Calibri" w:hAnsi="Calibri" w:cs="AppleSystemUIFont"/>
          <w:color w:val="353535"/>
          <w:sz w:val="23"/>
          <w:szCs w:val="23"/>
        </w:rPr>
      </w:pPr>
    </w:p>
    <w:p w14:paraId="0C9CB40D" w14:textId="77777777" w:rsidR="00EE4645" w:rsidRPr="00EE4645" w:rsidRDefault="00EE4645" w:rsidP="00EE4645">
      <w:pPr>
        <w:widowControl w:val="0"/>
        <w:autoSpaceDE w:val="0"/>
        <w:autoSpaceDN w:val="0"/>
        <w:adjustRightInd w:val="0"/>
        <w:rPr>
          <w:rFonts w:ascii="Calibri" w:hAnsi="Calibri" w:cs="AppleSystemUIFont"/>
          <w:color w:val="353535"/>
          <w:sz w:val="23"/>
          <w:szCs w:val="23"/>
        </w:rPr>
      </w:pPr>
      <w:r w:rsidRPr="00EE4645">
        <w:rPr>
          <w:rFonts w:ascii="Calibri" w:hAnsi="Calibri" w:cs="AppleSystemUIFont"/>
          <w:color w:val="353535"/>
          <w:sz w:val="23"/>
          <w:szCs w:val="23"/>
        </w:rPr>
        <w:t>The fourth article included 9 final RCTs with a strong focus to evaluate long-term bisphosphonate use in a specific population that is relevant to my initial patient: postmenopausal women with osteoporosis. Additionally, the authors specified which the femoral neck scores/T-score &lt; -2.5 after 3-5 years of treatment that are still at increased risk of vertebral fractures, thus may benefit in continuous bisphosphonate therapy. However, because of the specific population studied, these conclusions may not be generalized to other populations, such as men with osteoporosis.</w:t>
      </w:r>
    </w:p>
    <w:p w14:paraId="72B40DA4" w14:textId="77777777" w:rsidR="00EE4645" w:rsidRPr="00EE4645" w:rsidRDefault="00EE4645" w:rsidP="00EE4645">
      <w:pPr>
        <w:widowControl w:val="0"/>
        <w:autoSpaceDE w:val="0"/>
        <w:autoSpaceDN w:val="0"/>
        <w:adjustRightInd w:val="0"/>
        <w:rPr>
          <w:rFonts w:ascii="Calibri" w:hAnsi="Calibri" w:cs="AppleSystemUIFont"/>
          <w:color w:val="353535"/>
          <w:sz w:val="23"/>
          <w:szCs w:val="23"/>
        </w:rPr>
      </w:pPr>
    </w:p>
    <w:p w14:paraId="007C5241" w14:textId="77777777" w:rsidR="00EE4645" w:rsidRPr="00EE4645" w:rsidRDefault="00EE4645" w:rsidP="00EE4645">
      <w:pPr>
        <w:widowControl w:val="0"/>
        <w:autoSpaceDE w:val="0"/>
        <w:autoSpaceDN w:val="0"/>
        <w:adjustRightInd w:val="0"/>
        <w:rPr>
          <w:rFonts w:ascii="Calibri" w:hAnsi="Calibri" w:cs="AppleSystemUIFont"/>
          <w:color w:val="353535"/>
          <w:sz w:val="23"/>
          <w:szCs w:val="23"/>
        </w:rPr>
      </w:pPr>
      <w:r w:rsidRPr="00EE4645">
        <w:rPr>
          <w:rFonts w:ascii="Calibri" w:hAnsi="Calibri" w:cs="AppleSystemUIFont"/>
          <w:color w:val="353535"/>
          <w:sz w:val="23"/>
          <w:szCs w:val="23"/>
        </w:rPr>
        <w:t>The fifth article is another systematic review that included the most articles, with a total of 65 articles. It provided specific percentages in terms of fracture risk reduction, which is 47-70% lower for vertebral fractures, 28-50% lower for hip fractures, and 19-38% lower for other non vertebral fractures after the use of approved bisphosphonates. However, what consists of a drug holiday is not consistent between all studies and should be further specified in future studies.</w:t>
      </w:r>
    </w:p>
    <w:p w14:paraId="3C6C3CE3" w14:textId="77777777" w:rsidR="00EE4645" w:rsidRPr="00EE4645" w:rsidRDefault="00EE4645" w:rsidP="00EE4645">
      <w:pPr>
        <w:widowControl w:val="0"/>
        <w:autoSpaceDE w:val="0"/>
        <w:autoSpaceDN w:val="0"/>
        <w:adjustRightInd w:val="0"/>
        <w:rPr>
          <w:rFonts w:ascii="Calibri" w:hAnsi="Calibri" w:cs="AppleSystemUIFont"/>
          <w:color w:val="353535"/>
          <w:sz w:val="23"/>
          <w:szCs w:val="23"/>
        </w:rPr>
      </w:pPr>
    </w:p>
    <w:p w14:paraId="14EBE243" w14:textId="1F68AFED" w:rsidR="00633CF7" w:rsidRPr="00EE4645" w:rsidRDefault="00EE4645" w:rsidP="00EE4645">
      <w:pPr>
        <w:rPr>
          <w:rFonts w:ascii="Calibri" w:eastAsiaTheme="minorHAnsi" w:hAnsi="Calibri"/>
          <w:sz w:val="23"/>
          <w:szCs w:val="23"/>
          <w:u w:val="single"/>
        </w:rPr>
      </w:pPr>
      <w:r w:rsidRPr="00EE4645">
        <w:rPr>
          <w:rFonts w:ascii="Calibri" w:hAnsi="Calibri" w:cs="AppleSystemUIFont"/>
          <w:color w:val="353535"/>
          <w:sz w:val="23"/>
          <w:szCs w:val="23"/>
        </w:rPr>
        <w:t>The last article is a clinical practice guideline for the diagnosis and treatment of osteoporosis in postmenopausal women. This was valuable to include since it provided recommendations on how fracture risk is assessed and diagnosed, when pharmacologic therapy is indicated, which medication to use, and other risks. However, this guideline does include expert opinion, which may be biased depending on conflict of interest as many of the people responsible for developing this guideline received financial incentives from pharmaceutical or biotech companies.</w:t>
      </w:r>
    </w:p>
    <w:p w14:paraId="706FC541" w14:textId="77777777" w:rsidR="002B15D1" w:rsidRPr="00EE4645" w:rsidRDefault="002B15D1">
      <w:pPr>
        <w:rPr>
          <w:rFonts w:ascii="Calibri" w:hAnsi="Calibri"/>
          <w:sz w:val="23"/>
          <w:szCs w:val="23"/>
        </w:rPr>
      </w:pPr>
    </w:p>
    <w:p w14:paraId="21D8495B" w14:textId="77777777" w:rsidR="00CE48CE" w:rsidRPr="00EE4645" w:rsidRDefault="00CE48CE" w:rsidP="00EE4645">
      <w:pPr>
        <w:pBdr>
          <w:top w:val="nil"/>
          <w:left w:val="nil"/>
          <w:bottom w:val="nil"/>
          <w:right w:val="nil"/>
          <w:between w:val="nil"/>
        </w:pBdr>
        <w:rPr>
          <w:rFonts w:ascii="Calibri" w:hAnsi="Calibri"/>
          <w:sz w:val="23"/>
          <w:szCs w:val="23"/>
        </w:rPr>
      </w:pPr>
      <w:r w:rsidRPr="00EE4645">
        <w:rPr>
          <w:rFonts w:ascii="Calibri" w:hAnsi="Calibri"/>
          <w:sz w:val="23"/>
          <w:szCs w:val="23"/>
        </w:rPr>
        <w:t xml:space="preserve">Annually, there are an estimated 8.9 million fractures that occur as a complication from osteoporosis. The mainstay of managing osteoporosis involves the use of bisphosphonates with a well-established efficacy of fracture reduction up to 50%. However, poor adherence to such medications, co-morbidities, and concomitant use of other medications lower potential efficacy rates. Additionally, there is little guidance as to what the optimal treatment duration should be and what the criteria is for treatment discontinuation or retreatment. Recently, </w:t>
      </w:r>
      <w:r w:rsidRPr="00EE4645">
        <w:rPr>
          <w:rFonts w:ascii="Calibri" w:hAnsi="Calibri" w:cs="Arial"/>
          <w:color w:val="000000"/>
          <w:sz w:val="23"/>
          <w:szCs w:val="23"/>
        </w:rPr>
        <w:t xml:space="preserve">long-term bisphosphonate treatment has been associated with rare risks, such as atypical femoral fracture and osteonecrosis of the jaw, prompting patients and providers to discontinue such therapy due to such rare adverse effects. </w:t>
      </w:r>
      <w:r w:rsidRPr="00EE4645">
        <w:rPr>
          <w:rFonts w:ascii="Calibri" w:hAnsi="Calibri"/>
          <w:sz w:val="23"/>
          <w:szCs w:val="23"/>
        </w:rPr>
        <w:t>However, this risk remains less than 1/1000 patients in those treated for up to 10 years.</w:t>
      </w:r>
    </w:p>
    <w:p w14:paraId="0182FE3B" w14:textId="77777777" w:rsidR="00CE48CE" w:rsidRPr="00EE4645" w:rsidRDefault="00CE48CE" w:rsidP="00EE4645">
      <w:pPr>
        <w:widowControl w:val="0"/>
        <w:rPr>
          <w:rFonts w:ascii="Calibri" w:hAnsi="Calibri" w:cs="Arial"/>
          <w:color w:val="000000"/>
          <w:sz w:val="23"/>
          <w:szCs w:val="23"/>
        </w:rPr>
      </w:pPr>
    </w:p>
    <w:p w14:paraId="195FCC91" w14:textId="62F456E5" w:rsidR="00CE48CE" w:rsidRPr="00EE4645" w:rsidRDefault="00CE48CE" w:rsidP="00EE4645">
      <w:pPr>
        <w:pBdr>
          <w:top w:val="nil"/>
          <w:left w:val="nil"/>
          <w:bottom w:val="nil"/>
          <w:right w:val="nil"/>
          <w:between w:val="nil"/>
        </w:pBdr>
        <w:rPr>
          <w:rFonts w:ascii="Calibri" w:hAnsi="Calibri"/>
          <w:sz w:val="23"/>
          <w:szCs w:val="23"/>
        </w:rPr>
      </w:pPr>
      <w:r w:rsidRPr="00EE4645">
        <w:rPr>
          <w:rFonts w:ascii="Calibri" w:hAnsi="Calibri" w:cs="Arial"/>
          <w:color w:val="000000"/>
          <w:sz w:val="23"/>
          <w:szCs w:val="23"/>
        </w:rPr>
        <w:t xml:space="preserve">Current studies demonstrate that </w:t>
      </w:r>
      <w:r w:rsidRPr="00EE4645">
        <w:rPr>
          <w:rFonts w:ascii="Calibri" w:hAnsi="Calibri"/>
          <w:sz w:val="23"/>
          <w:szCs w:val="23"/>
        </w:rPr>
        <w:t xml:space="preserve">in women with personal history of osteopenia/osteoporosis, four years of alendronate compared with placebo is associated with reduced radiographic vertebral fractures but does not significantly reduce </w:t>
      </w:r>
      <w:proofErr w:type="spellStart"/>
      <w:r w:rsidRPr="00EE4645">
        <w:rPr>
          <w:rFonts w:ascii="Calibri" w:hAnsi="Calibri"/>
          <w:sz w:val="23"/>
          <w:szCs w:val="23"/>
        </w:rPr>
        <w:t>nonvertebral</w:t>
      </w:r>
      <w:proofErr w:type="spellEnd"/>
      <w:r w:rsidRPr="00EE4645">
        <w:rPr>
          <w:rFonts w:ascii="Calibri" w:hAnsi="Calibri"/>
          <w:sz w:val="23"/>
          <w:szCs w:val="23"/>
        </w:rPr>
        <w:t xml:space="preserve">/hip fractures. Additionally, treatment continuation with alendronate beyond 3-5 years is associated with continued vertebral fracture risk reduction, which may be especially beneficial for patients with low femoral neck scores (T-score &lt;-2.5). Long-term use of bisphosphonates is not associated with any adverse effects and tolerability remains favorable. Risk of developing hip, </w:t>
      </w:r>
      <w:proofErr w:type="spellStart"/>
      <w:r w:rsidRPr="00EE4645">
        <w:rPr>
          <w:rFonts w:ascii="Calibri" w:hAnsi="Calibri"/>
          <w:sz w:val="23"/>
          <w:szCs w:val="23"/>
        </w:rPr>
        <w:t>subtrochanteric</w:t>
      </w:r>
      <w:proofErr w:type="spellEnd"/>
      <w:r w:rsidRPr="00EE4645">
        <w:rPr>
          <w:rFonts w:ascii="Calibri" w:hAnsi="Calibri"/>
          <w:sz w:val="23"/>
          <w:szCs w:val="23"/>
        </w:rPr>
        <w:t xml:space="preserve"> femur/femoral shaft fractures remains low as well. In the case of possible discontinuation of such therapy, this decision should be individualized, based on response to treatment, fracture risk, and comorbidities. </w:t>
      </w:r>
      <w:r w:rsidR="00EE4645">
        <w:rPr>
          <w:rFonts w:ascii="Calibri" w:hAnsi="Calibri"/>
          <w:sz w:val="23"/>
          <w:szCs w:val="23"/>
        </w:rPr>
        <w:t xml:space="preserve">However, these conclusions may not be generalized to other populations such as men since there was a strong focus in studying postmenopausal women with osteoporosis. In addition, we need to take extra precaution in patients with underlying </w:t>
      </w:r>
      <w:r w:rsidR="0043241B">
        <w:rPr>
          <w:rFonts w:ascii="Calibri" w:hAnsi="Calibri"/>
          <w:sz w:val="23"/>
          <w:szCs w:val="23"/>
        </w:rPr>
        <w:t>pathologies of the bone in which continued duration of bisphosphonate use may be beneficial.</w:t>
      </w:r>
    </w:p>
    <w:p w14:paraId="0B3793D2" w14:textId="77777777" w:rsidR="00CE48CE" w:rsidRPr="00EE4645" w:rsidRDefault="00CE48CE" w:rsidP="00EE4645">
      <w:pPr>
        <w:rPr>
          <w:rFonts w:ascii="Calibri" w:hAnsi="Calibri"/>
          <w:sz w:val="23"/>
          <w:szCs w:val="23"/>
        </w:rPr>
      </w:pPr>
    </w:p>
    <w:p w14:paraId="6E2EA6A8" w14:textId="408211A2" w:rsidR="00CE48CE" w:rsidRPr="00EE4645" w:rsidRDefault="00CE48CE" w:rsidP="00EE4645">
      <w:pPr>
        <w:rPr>
          <w:rFonts w:ascii="Calibri" w:hAnsi="Calibri"/>
          <w:sz w:val="23"/>
          <w:szCs w:val="23"/>
        </w:rPr>
      </w:pPr>
      <w:r w:rsidRPr="00EE4645">
        <w:rPr>
          <w:rFonts w:ascii="Calibri" w:hAnsi="Calibri"/>
          <w:sz w:val="23"/>
          <w:szCs w:val="23"/>
        </w:rPr>
        <w:t>For this patient, I would need to know more information about when she was started on bisphosphonates and how her treatment response has been thus far. It would also be helpful to review previous T-scores and other indicators of her osteoporosis before determining whether</w:t>
      </w:r>
      <w:r w:rsidR="001E611D" w:rsidRPr="00EE4645">
        <w:rPr>
          <w:rFonts w:ascii="Calibri" w:hAnsi="Calibri"/>
          <w:sz w:val="23"/>
          <w:szCs w:val="23"/>
        </w:rPr>
        <w:t xml:space="preserve"> </w:t>
      </w:r>
      <w:r w:rsidR="00BC498D" w:rsidRPr="00EE4645">
        <w:rPr>
          <w:rFonts w:ascii="Calibri" w:hAnsi="Calibri"/>
          <w:sz w:val="23"/>
          <w:szCs w:val="23"/>
        </w:rPr>
        <w:t>to continue</w:t>
      </w:r>
      <w:r w:rsidRPr="00EE4645">
        <w:rPr>
          <w:rFonts w:ascii="Calibri" w:hAnsi="Calibri"/>
          <w:sz w:val="23"/>
          <w:szCs w:val="23"/>
        </w:rPr>
        <w:t xml:space="preserve"> or discontinue long-term bisphosphonate therapy.</w:t>
      </w:r>
    </w:p>
    <w:p w14:paraId="5CBBEB3C" w14:textId="77777777" w:rsidR="007C7FB2" w:rsidRPr="00EE4645" w:rsidRDefault="007C7FB2" w:rsidP="00EE4645">
      <w:pPr>
        <w:rPr>
          <w:rFonts w:ascii="Calibri" w:hAnsi="Calibri"/>
          <w:sz w:val="23"/>
          <w:szCs w:val="23"/>
        </w:rPr>
      </w:pPr>
      <w:bookmarkStart w:id="0" w:name="_GoBack"/>
      <w:bookmarkEnd w:id="0"/>
    </w:p>
    <w:sectPr w:rsidR="007C7FB2" w:rsidRPr="00EE4645" w:rsidSect="00687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ppleSystemUIFont">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7FC4"/>
    <w:multiLevelType w:val="multilevel"/>
    <w:tmpl w:val="B28884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BE75F19"/>
    <w:multiLevelType w:val="multilevel"/>
    <w:tmpl w:val="1DC45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2F20C28"/>
    <w:multiLevelType w:val="multilevel"/>
    <w:tmpl w:val="1AFA2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B5C10D2"/>
    <w:multiLevelType w:val="multilevel"/>
    <w:tmpl w:val="DB90A9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1970B97"/>
    <w:multiLevelType w:val="multilevel"/>
    <w:tmpl w:val="C074B5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D40"/>
    <w:rsid w:val="00023554"/>
    <w:rsid w:val="00037B62"/>
    <w:rsid w:val="000B0D2D"/>
    <w:rsid w:val="000D046F"/>
    <w:rsid w:val="000D24D7"/>
    <w:rsid w:val="000D4A18"/>
    <w:rsid w:val="00110DA7"/>
    <w:rsid w:val="001154CE"/>
    <w:rsid w:val="00172B0D"/>
    <w:rsid w:val="00173A36"/>
    <w:rsid w:val="001831D0"/>
    <w:rsid w:val="001C621A"/>
    <w:rsid w:val="001E611D"/>
    <w:rsid w:val="001F7146"/>
    <w:rsid w:val="00230B31"/>
    <w:rsid w:val="002836C8"/>
    <w:rsid w:val="00292472"/>
    <w:rsid w:val="002B15D1"/>
    <w:rsid w:val="002B3BAF"/>
    <w:rsid w:val="002B5763"/>
    <w:rsid w:val="00312CB3"/>
    <w:rsid w:val="00323DAB"/>
    <w:rsid w:val="00333B54"/>
    <w:rsid w:val="00342821"/>
    <w:rsid w:val="0037579F"/>
    <w:rsid w:val="0037638C"/>
    <w:rsid w:val="00381728"/>
    <w:rsid w:val="003926C5"/>
    <w:rsid w:val="00420B60"/>
    <w:rsid w:val="0043241B"/>
    <w:rsid w:val="00476551"/>
    <w:rsid w:val="00476A64"/>
    <w:rsid w:val="00482F74"/>
    <w:rsid w:val="00484F40"/>
    <w:rsid w:val="004871EC"/>
    <w:rsid w:val="005335A3"/>
    <w:rsid w:val="00547D09"/>
    <w:rsid w:val="00572A16"/>
    <w:rsid w:val="00586F74"/>
    <w:rsid w:val="00633CF7"/>
    <w:rsid w:val="00635D80"/>
    <w:rsid w:val="006864A8"/>
    <w:rsid w:val="00686D02"/>
    <w:rsid w:val="00687BC8"/>
    <w:rsid w:val="006C1685"/>
    <w:rsid w:val="006D20A8"/>
    <w:rsid w:val="006D2C88"/>
    <w:rsid w:val="006D522A"/>
    <w:rsid w:val="006F22B9"/>
    <w:rsid w:val="007166B1"/>
    <w:rsid w:val="00725A77"/>
    <w:rsid w:val="00752FB1"/>
    <w:rsid w:val="00753596"/>
    <w:rsid w:val="00755B58"/>
    <w:rsid w:val="007C7FB2"/>
    <w:rsid w:val="007E1427"/>
    <w:rsid w:val="00806647"/>
    <w:rsid w:val="008357E8"/>
    <w:rsid w:val="00853A05"/>
    <w:rsid w:val="00874611"/>
    <w:rsid w:val="008818E9"/>
    <w:rsid w:val="008A2371"/>
    <w:rsid w:val="008B6168"/>
    <w:rsid w:val="008C055E"/>
    <w:rsid w:val="008D46DD"/>
    <w:rsid w:val="008F39C9"/>
    <w:rsid w:val="00950A59"/>
    <w:rsid w:val="0095691D"/>
    <w:rsid w:val="009B28D0"/>
    <w:rsid w:val="009C0457"/>
    <w:rsid w:val="009C1099"/>
    <w:rsid w:val="009E5A6A"/>
    <w:rsid w:val="009F6DA9"/>
    <w:rsid w:val="00A72708"/>
    <w:rsid w:val="00AB61FB"/>
    <w:rsid w:val="00AE022D"/>
    <w:rsid w:val="00B05479"/>
    <w:rsid w:val="00B22DA6"/>
    <w:rsid w:val="00BB1F1F"/>
    <w:rsid w:val="00BC498D"/>
    <w:rsid w:val="00BF12CB"/>
    <w:rsid w:val="00C00A18"/>
    <w:rsid w:val="00C21C81"/>
    <w:rsid w:val="00C67EE2"/>
    <w:rsid w:val="00C85114"/>
    <w:rsid w:val="00C94192"/>
    <w:rsid w:val="00CC1D40"/>
    <w:rsid w:val="00CC4053"/>
    <w:rsid w:val="00CD2CE9"/>
    <w:rsid w:val="00CD5C4B"/>
    <w:rsid w:val="00CD7995"/>
    <w:rsid w:val="00CE48CE"/>
    <w:rsid w:val="00CF4B32"/>
    <w:rsid w:val="00D01F6E"/>
    <w:rsid w:val="00D50B48"/>
    <w:rsid w:val="00D60422"/>
    <w:rsid w:val="00D61104"/>
    <w:rsid w:val="00D75D21"/>
    <w:rsid w:val="00D82903"/>
    <w:rsid w:val="00D8799C"/>
    <w:rsid w:val="00DF76B0"/>
    <w:rsid w:val="00E41898"/>
    <w:rsid w:val="00E62EC4"/>
    <w:rsid w:val="00E65BE0"/>
    <w:rsid w:val="00E83F74"/>
    <w:rsid w:val="00E95637"/>
    <w:rsid w:val="00EE4645"/>
    <w:rsid w:val="00F01A80"/>
    <w:rsid w:val="00F102D9"/>
    <w:rsid w:val="00F240C0"/>
    <w:rsid w:val="00F30991"/>
    <w:rsid w:val="00F33578"/>
    <w:rsid w:val="00F41B8D"/>
    <w:rsid w:val="00F53872"/>
    <w:rsid w:val="00F70B77"/>
    <w:rsid w:val="00F74AC1"/>
    <w:rsid w:val="00FB5B07"/>
    <w:rsid w:val="00FC0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8AA7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53A05"/>
    <w:pPr>
      <w:spacing w:before="100" w:beforeAutospacing="1" w:after="100" w:afterAutospacing="1"/>
      <w:outlineLvl w:val="2"/>
    </w:pPr>
    <w:rPr>
      <w:rFonts w:ascii="Times New Roman" w:eastAsia="Calibri" w:hAnsi="Times New Roman" w:cs="Times New Roman"/>
      <w:b/>
      <w:bCs/>
      <w:sz w:val="27"/>
      <w:szCs w:val="27"/>
    </w:rPr>
  </w:style>
  <w:style w:type="paragraph" w:styleId="Heading4">
    <w:name w:val="heading 4"/>
    <w:basedOn w:val="Normal"/>
    <w:link w:val="Heading4Char"/>
    <w:uiPriority w:val="9"/>
    <w:qFormat/>
    <w:rsid w:val="00853A05"/>
    <w:pPr>
      <w:spacing w:before="100" w:beforeAutospacing="1" w:after="100" w:afterAutospacing="1"/>
      <w:outlineLvl w:val="3"/>
    </w:pPr>
    <w:rPr>
      <w:rFonts w:ascii="Times New Roman" w:eastAsia="Calibri"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53A05"/>
    <w:rPr>
      <w:rFonts w:ascii="Times New Roman" w:eastAsia="Calibri" w:hAnsi="Times New Roman" w:cs="Times New Roman"/>
      <w:b/>
      <w:bCs/>
      <w:sz w:val="27"/>
      <w:szCs w:val="27"/>
    </w:rPr>
  </w:style>
  <w:style w:type="character" w:customStyle="1" w:styleId="Heading4Char">
    <w:name w:val="Heading 4 Char"/>
    <w:basedOn w:val="DefaultParagraphFont"/>
    <w:link w:val="Heading4"/>
    <w:uiPriority w:val="9"/>
    <w:rsid w:val="00853A05"/>
    <w:rPr>
      <w:rFonts w:ascii="Times New Roman" w:eastAsia="Calibri" w:hAnsi="Times New Roman" w:cs="Times New Roman"/>
      <w:b/>
      <w:bCs/>
    </w:rPr>
  </w:style>
  <w:style w:type="paragraph" w:styleId="Title">
    <w:name w:val="Title"/>
    <w:aliases w:val="title"/>
    <w:basedOn w:val="Normal"/>
    <w:link w:val="TitleChar"/>
    <w:uiPriority w:val="10"/>
    <w:qFormat/>
    <w:rsid w:val="00853A05"/>
    <w:pPr>
      <w:spacing w:before="100" w:beforeAutospacing="1" w:after="100" w:afterAutospacing="1"/>
    </w:pPr>
    <w:rPr>
      <w:rFonts w:ascii="Times New Roman" w:eastAsia="Calibri" w:hAnsi="Times New Roman" w:cs="Times New Roman"/>
      <w:sz w:val="20"/>
      <w:szCs w:val="20"/>
    </w:rPr>
  </w:style>
  <w:style w:type="character" w:customStyle="1" w:styleId="TitleChar">
    <w:name w:val="Title Char"/>
    <w:aliases w:val="title Char"/>
    <w:basedOn w:val="DefaultParagraphFont"/>
    <w:link w:val="Title"/>
    <w:uiPriority w:val="10"/>
    <w:rsid w:val="00853A05"/>
    <w:rPr>
      <w:rFonts w:ascii="Times New Roman" w:eastAsia="Calibri" w:hAnsi="Times New Roman" w:cs="Times New Roman"/>
      <w:sz w:val="20"/>
      <w:szCs w:val="20"/>
    </w:rPr>
  </w:style>
  <w:style w:type="character" w:styleId="Hyperlink">
    <w:name w:val="Hyperlink"/>
    <w:basedOn w:val="DefaultParagraphFont"/>
    <w:uiPriority w:val="99"/>
    <w:unhideWhenUsed/>
    <w:rsid w:val="00853A05"/>
    <w:rPr>
      <w:color w:val="0000FF" w:themeColor="hyperlink"/>
      <w:u w:val="single"/>
    </w:rPr>
  </w:style>
  <w:style w:type="paragraph" w:customStyle="1" w:styleId="desc">
    <w:name w:val="desc"/>
    <w:basedOn w:val="Normal"/>
    <w:rsid w:val="00853A05"/>
    <w:pPr>
      <w:spacing w:before="100" w:beforeAutospacing="1" w:after="100" w:afterAutospacing="1"/>
    </w:pPr>
    <w:rPr>
      <w:rFonts w:ascii="Times New Roman" w:eastAsia="Calibri" w:hAnsi="Times New Roman" w:cs="Times New Roman"/>
      <w:sz w:val="20"/>
      <w:szCs w:val="20"/>
    </w:rPr>
  </w:style>
  <w:style w:type="paragraph" w:customStyle="1" w:styleId="details">
    <w:name w:val="details"/>
    <w:basedOn w:val="Normal"/>
    <w:rsid w:val="00853A05"/>
    <w:pPr>
      <w:spacing w:before="100" w:beforeAutospacing="1" w:after="100" w:afterAutospacing="1"/>
    </w:pPr>
    <w:rPr>
      <w:rFonts w:ascii="Times New Roman" w:eastAsia="Calibri" w:hAnsi="Times New Roman" w:cs="Times New Roman"/>
      <w:sz w:val="20"/>
      <w:szCs w:val="20"/>
    </w:rPr>
  </w:style>
  <w:style w:type="character" w:customStyle="1" w:styleId="jrnl">
    <w:name w:val="jrnl"/>
    <w:basedOn w:val="DefaultParagraphFont"/>
    <w:rsid w:val="00853A05"/>
  </w:style>
  <w:style w:type="paragraph" w:styleId="NormalWeb">
    <w:name w:val="Normal (Web)"/>
    <w:basedOn w:val="Normal"/>
    <w:uiPriority w:val="99"/>
    <w:unhideWhenUsed/>
    <w:rsid w:val="00853A05"/>
    <w:pPr>
      <w:spacing w:before="100" w:beforeAutospacing="1" w:after="100" w:afterAutospacing="1"/>
    </w:pPr>
    <w:rPr>
      <w:rFonts w:ascii="Times New Roman" w:eastAsia="Calibri" w:hAnsi="Times New Roman" w:cs="Times New Roman"/>
      <w:sz w:val="20"/>
      <w:szCs w:val="20"/>
    </w:rPr>
  </w:style>
  <w:style w:type="character" w:customStyle="1" w:styleId="highlight">
    <w:name w:val="highlight"/>
    <w:basedOn w:val="DefaultParagraphFont"/>
    <w:rsid w:val="0095691D"/>
  </w:style>
  <w:style w:type="table" w:styleId="TableGrid">
    <w:name w:val="Table Grid"/>
    <w:basedOn w:val="TableNormal"/>
    <w:uiPriority w:val="59"/>
    <w:rsid w:val="004765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154CE"/>
    <w:rPr>
      <w:color w:val="800080" w:themeColor="followedHyperlink"/>
      <w:u w:val="single"/>
    </w:rPr>
  </w:style>
  <w:style w:type="table" w:customStyle="1" w:styleId="TableGrid1">
    <w:name w:val="Table Grid1"/>
    <w:basedOn w:val="TableNormal"/>
    <w:next w:val="TableGrid"/>
    <w:uiPriority w:val="39"/>
    <w:rsid w:val="002B15D1"/>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3">
    <w:name w:val="Medium Shading 1 Accent 3"/>
    <w:basedOn w:val="TableNormal"/>
    <w:uiPriority w:val="63"/>
    <w:rsid w:val="00752FB1"/>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752FB1"/>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1">
    <w:name w:val="Light Grid Accent 1"/>
    <w:basedOn w:val="TableNormal"/>
    <w:uiPriority w:val="62"/>
    <w:rsid w:val="00752FB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752FB1"/>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5">
    <w:name w:val="Light Grid Accent 5"/>
    <w:basedOn w:val="TableNormal"/>
    <w:uiPriority w:val="62"/>
    <w:rsid w:val="00752FB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752FB1"/>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ListParagraph">
    <w:name w:val="List Paragraph"/>
    <w:basedOn w:val="Normal"/>
    <w:uiPriority w:val="34"/>
    <w:qFormat/>
    <w:rsid w:val="00333B5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53A05"/>
    <w:pPr>
      <w:spacing w:before="100" w:beforeAutospacing="1" w:after="100" w:afterAutospacing="1"/>
      <w:outlineLvl w:val="2"/>
    </w:pPr>
    <w:rPr>
      <w:rFonts w:ascii="Times New Roman" w:eastAsia="Calibri" w:hAnsi="Times New Roman" w:cs="Times New Roman"/>
      <w:b/>
      <w:bCs/>
      <w:sz w:val="27"/>
      <w:szCs w:val="27"/>
    </w:rPr>
  </w:style>
  <w:style w:type="paragraph" w:styleId="Heading4">
    <w:name w:val="heading 4"/>
    <w:basedOn w:val="Normal"/>
    <w:link w:val="Heading4Char"/>
    <w:uiPriority w:val="9"/>
    <w:qFormat/>
    <w:rsid w:val="00853A05"/>
    <w:pPr>
      <w:spacing w:before="100" w:beforeAutospacing="1" w:after="100" w:afterAutospacing="1"/>
      <w:outlineLvl w:val="3"/>
    </w:pPr>
    <w:rPr>
      <w:rFonts w:ascii="Times New Roman" w:eastAsia="Calibri"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53A05"/>
    <w:rPr>
      <w:rFonts w:ascii="Times New Roman" w:eastAsia="Calibri" w:hAnsi="Times New Roman" w:cs="Times New Roman"/>
      <w:b/>
      <w:bCs/>
      <w:sz w:val="27"/>
      <w:szCs w:val="27"/>
    </w:rPr>
  </w:style>
  <w:style w:type="character" w:customStyle="1" w:styleId="Heading4Char">
    <w:name w:val="Heading 4 Char"/>
    <w:basedOn w:val="DefaultParagraphFont"/>
    <w:link w:val="Heading4"/>
    <w:uiPriority w:val="9"/>
    <w:rsid w:val="00853A05"/>
    <w:rPr>
      <w:rFonts w:ascii="Times New Roman" w:eastAsia="Calibri" w:hAnsi="Times New Roman" w:cs="Times New Roman"/>
      <w:b/>
      <w:bCs/>
    </w:rPr>
  </w:style>
  <w:style w:type="paragraph" w:styleId="Title">
    <w:name w:val="Title"/>
    <w:aliases w:val="title"/>
    <w:basedOn w:val="Normal"/>
    <w:link w:val="TitleChar"/>
    <w:uiPriority w:val="10"/>
    <w:qFormat/>
    <w:rsid w:val="00853A05"/>
    <w:pPr>
      <w:spacing w:before="100" w:beforeAutospacing="1" w:after="100" w:afterAutospacing="1"/>
    </w:pPr>
    <w:rPr>
      <w:rFonts w:ascii="Times New Roman" w:eastAsia="Calibri" w:hAnsi="Times New Roman" w:cs="Times New Roman"/>
      <w:sz w:val="20"/>
      <w:szCs w:val="20"/>
    </w:rPr>
  </w:style>
  <w:style w:type="character" w:customStyle="1" w:styleId="TitleChar">
    <w:name w:val="Title Char"/>
    <w:aliases w:val="title Char"/>
    <w:basedOn w:val="DefaultParagraphFont"/>
    <w:link w:val="Title"/>
    <w:uiPriority w:val="10"/>
    <w:rsid w:val="00853A05"/>
    <w:rPr>
      <w:rFonts w:ascii="Times New Roman" w:eastAsia="Calibri" w:hAnsi="Times New Roman" w:cs="Times New Roman"/>
      <w:sz w:val="20"/>
      <w:szCs w:val="20"/>
    </w:rPr>
  </w:style>
  <w:style w:type="character" w:styleId="Hyperlink">
    <w:name w:val="Hyperlink"/>
    <w:basedOn w:val="DefaultParagraphFont"/>
    <w:uiPriority w:val="99"/>
    <w:unhideWhenUsed/>
    <w:rsid w:val="00853A05"/>
    <w:rPr>
      <w:color w:val="0000FF" w:themeColor="hyperlink"/>
      <w:u w:val="single"/>
    </w:rPr>
  </w:style>
  <w:style w:type="paragraph" w:customStyle="1" w:styleId="desc">
    <w:name w:val="desc"/>
    <w:basedOn w:val="Normal"/>
    <w:rsid w:val="00853A05"/>
    <w:pPr>
      <w:spacing w:before="100" w:beforeAutospacing="1" w:after="100" w:afterAutospacing="1"/>
    </w:pPr>
    <w:rPr>
      <w:rFonts w:ascii="Times New Roman" w:eastAsia="Calibri" w:hAnsi="Times New Roman" w:cs="Times New Roman"/>
      <w:sz w:val="20"/>
      <w:szCs w:val="20"/>
    </w:rPr>
  </w:style>
  <w:style w:type="paragraph" w:customStyle="1" w:styleId="details">
    <w:name w:val="details"/>
    <w:basedOn w:val="Normal"/>
    <w:rsid w:val="00853A05"/>
    <w:pPr>
      <w:spacing w:before="100" w:beforeAutospacing="1" w:after="100" w:afterAutospacing="1"/>
    </w:pPr>
    <w:rPr>
      <w:rFonts w:ascii="Times New Roman" w:eastAsia="Calibri" w:hAnsi="Times New Roman" w:cs="Times New Roman"/>
      <w:sz w:val="20"/>
      <w:szCs w:val="20"/>
    </w:rPr>
  </w:style>
  <w:style w:type="character" w:customStyle="1" w:styleId="jrnl">
    <w:name w:val="jrnl"/>
    <w:basedOn w:val="DefaultParagraphFont"/>
    <w:rsid w:val="00853A05"/>
  </w:style>
  <w:style w:type="paragraph" w:styleId="NormalWeb">
    <w:name w:val="Normal (Web)"/>
    <w:basedOn w:val="Normal"/>
    <w:uiPriority w:val="99"/>
    <w:unhideWhenUsed/>
    <w:rsid w:val="00853A05"/>
    <w:pPr>
      <w:spacing w:before="100" w:beforeAutospacing="1" w:after="100" w:afterAutospacing="1"/>
    </w:pPr>
    <w:rPr>
      <w:rFonts w:ascii="Times New Roman" w:eastAsia="Calibri" w:hAnsi="Times New Roman" w:cs="Times New Roman"/>
      <w:sz w:val="20"/>
      <w:szCs w:val="20"/>
    </w:rPr>
  </w:style>
  <w:style w:type="character" w:customStyle="1" w:styleId="highlight">
    <w:name w:val="highlight"/>
    <w:basedOn w:val="DefaultParagraphFont"/>
    <w:rsid w:val="0095691D"/>
  </w:style>
  <w:style w:type="table" w:styleId="TableGrid">
    <w:name w:val="Table Grid"/>
    <w:basedOn w:val="TableNormal"/>
    <w:uiPriority w:val="59"/>
    <w:rsid w:val="004765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154CE"/>
    <w:rPr>
      <w:color w:val="800080" w:themeColor="followedHyperlink"/>
      <w:u w:val="single"/>
    </w:rPr>
  </w:style>
  <w:style w:type="table" w:customStyle="1" w:styleId="TableGrid1">
    <w:name w:val="Table Grid1"/>
    <w:basedOn w:val="TableNormal"/>
    <w:next w:val="TableGrid"/>
    <w:uiPriority w:val="39"/>
    <w:rsid w:val="002B15D1"/>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3">
    <w:name w:val="Medium Shading 1 Accent 3"/>
    <w:basedOn w:val="TableNormal"/>
    <w:uiPriority w:val="63"/>
    <w:rsid w:val="00752FB1"/>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752FB1"/>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1">
    <w:name w:val="Light Grid Accent 1"/>
    <w:basedOn w:val="TableNormal"/>
    <w:uiPriority w:val="62"/>
    <w:rsid w:val="00752FB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752FB1"/>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5">
    <w:name w:val="Light Grid Accent 5"/>
    <w:basedOn w:val="TableNormal"/>
    <w:uiPriority w:val="62"/>
    <w:rsid w:val="00752FB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752FB1"/>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ListParagraph">
    <w:name w:val="List Paragraph"/>
    <w:basedOn w:val="Normal"/>
    <w:uiPriority w:val="34"/>
    <w:qFormat/>
    <w:rsid w:val="00333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8931">
      <w:bodyDiv w:val="1"/>
      <w:marLeft w:val="0"/>
      <w:marRight w:val="0"/>
      <w:marTop w:val="0"/>
      <w:marBottom w:val="0"/>
      <w:divBdr>
        <w:top w:val="none" w:sz="0" w:space="0" w:color="auto"/>
        <w:left w:val="none" w:sz="0" w:space="0" w:color="auto"/>
        <w:bottom w:val="none" w:sz="0" w:space="0" w:color="auto"/>
        <w:right w:val="none" w:sz="0" w:space="0" w:color="auto"/>
      </w:divBdr>
      <w:divsChild>
        <w:div w:id="1992099690">
          <w:marLeft w:val="0"/>
          <w:marRight w:val="0"/>
          <w:marTop w:val="34"/>
          <w:marBottom w:val="34"/>
          <w:divBdr>
            <w:top w:val="none" w:sz="0" w:space="0" w:color="auto"/>
            <w:left w:val="none" w:sz="0" w:space="0" w:color="auto"/>
            <w:bottom w:val="none" w:sz="0" w:space="0" w:color="auto"/>
            <w:right w:val="none" w:sz="0" w:space="0" w:color="auto"/>
          </w:divBdr>
        </w:div>
        <w:div w:id="22634409">
          <w:marLeft w:val="0"/>
          <w:marRight w:val="0"/>
          <w:marTop w:val="0"/>
          <w:marBottom w:val="0"/>
          <w:divBdr>
            <w:top w:val="none" w:sz="0" w:space="0" w:color="auto"/>
            <w:left w:val="none" w:sz="0" w:space="0" w:color="auto"/>
            <w:bottom w:val="none" w:sz="0" w:space="0" w:color="auto"/>
            <w:right w:val="none" w:sz="0" w:space="0" w:color="auto"/>
          </w:divBdr>
        </w:div>
      </w:divsChild>
    </w:div>
    <w:div w:id="110632529">
      <w:bodyDiv w:val="1"/>
      <w:marLeft w:val="0"/>
      <w:marRight w:val="0"/>
      <w:marTop w:val="0"/>
      <w:marBottom w:val="0"/>
      <w:divBdr>
        <w:top w:val="none" w:sz="0" w:space="0" w:color="auto"/>
        <w:left w:val="none" w:sz="0" w:space="0" w:color="auto"/>
        <w:bottom w:val="none" w:sz="0" w:space="0" w:color="auto"/>
        <w:right w:val="none" w:sz="0" w:space="0" w:color="auto"/>
      </w:divBdr>
      <w:divsChild>
        <w:div w:id="579797866">
          <w:marLeft w:val="0"/>
          <w:marRight w:val="0"/>
          <w:marTop w:val="34"/>
          <w:marBottom w:val="34"/>
          <w:divBdr>
            <w:top w:val="none" w:sz="0" w:space="0" w:color="auto"/>
            <w:left w:val="none" w:sz="0" w:space="0" w:color="auto"/>
            <w:bottom w:val="none" w:sz="0" w:space="0" w:color="auto"/>
            <w:right w:val="none" w:sz="0" w:space="0" w:color="auto"/>
          </w:divBdr>
        </w:div>
        <w:div w:id="2006473448">
          <w:marLeft w:val="0"/>
          <w:marRight w:val="0"/>
          <w:marTop w:val="0"/>
          <w:marBottom w:val="0"/>
          <w:divBdr>
            <w:top w:val="none" w:sz="0" w:space="0" w:color="auto"/>
            <w:left w:val="none" w:sz="0" w:space="0" w:color="auto"/>
            <w:bottom w:val="none" w:sz="0" w:space="0" w:color="auto"/>
            <w:right w:val="none" w:sz="0" w:space="0" w:color="auto"/>
          </w:divBdr>
        </w:div>
      </w:divsChild>
    </w:div>
    <w:div w:id="169296497">
      <w:bodyDiv w:val="1"/>
      <w:marLeft w:val="0"/>
      <w:marRight w:val="0"/>
      <w:marTop w:val="0"/>
      <w:marBottom w:val="0"/>
      <w:divBdr>
        <w:top w:val="none" w:sz="0" w:space="0" w:color="auto"/>
        <w:left w:val="none" w:sz="0" w:space="0" w:color="auto"/>
        <w:bottom w:val="none" w:sz="0" w:space="0" w:color="auto"/>
        <w:right w:val="none" w:sz="0" w:space="0" w:color="auto"/>
      </w:divBdr>
      <w:divsChild>
        <w:div w:id="377095745">
          <w:marLeft w:val="0"/>
          <w:marRight w:val="0"/>
          <w:marTop w:val="34"/>
          <w:marBottom w:val="34"/>
          <w:divBdr>
            <w:top w:val="none" w:sz="0" w:space="0" w:color="auto"/>
            <w:left w:val="none" w:sz="0" w:space="0" w:color="auto"/>
            <w:bottom w:val="none" w:sz="0" w:space="0" w:color="auto"/>
            <w:right w:val="none" w:sz="0" w:space="0" w:color="auto"/>
          </w:divBdr>
        </w:div>
        <w:div w:id="2024479706">
          <w:marLeft w:val="0"/>
          <w:marRight w:val="0"/>
          <w:marTop w:val="0"/>
          <w:marBottom w:val="0"/>
          <w:divBdr>
            <w:top w:val="none" w:sz="0" w:space="0" w:color="auto"/>
            <w:left w:val="none" w:sz="0" w:space="0" w:color="auto"/>
            <w:bottom w:val="none" w:sz="0" w:space="0" w:color="auto"/>
            <w:right w:val="none" w:sz="0" w:space="0" w:color="auto"/>
          </w:divBdr>
        </w:div>
      </w:divsChild>
    </w:div>
    <w:div w:id="517891245">
      <w:bodyDiv w:val="1"/>
      <w:marLeft w:val="0"/>
      <w:marRight w:val="0"/>
      <w:marTop w:val="0"/>
      <w:marBottom w:val="0"/>
      <w:divBdr>
        <w:top w:val="none" w:sz="0" w:space="0" w:color="auto"/>
        <w:left w:val="none" w:sz="0" w:space="0" w:color="auto"/>
        <w:bottom w:val="none" w:sz="0" w:space="0" w:color="auto"/>
        <w:right w:val="none" w:sz="0" w:space="0" w:color="auto"/>
      </w:divBdr>
    </w:div>
    <w:div w:id="780997658">
      <w:bodyDiv w:val="1"/>
      <w:marLeft w:val="0"/>
      <w:marRight w:val="0"/>
      <w:marTop w:val="0"/>
      <w:marBottom w:val="0"/>
      <w:divBdr>
        <w:top w:val="none" w:sz="0" w:space="0" w:color="auto"/>
        <w:left w:val="none" w:sz="0" w:space="0" w:color="auto"/>
        <w:bottom w:val="none" w:sz="0" w:space="0" w:color="auto"/>
        <w:right w:val="none" w:sz="0" w:space="0" w:color="auto"/>
      </w:divBdr>
    </w:div>
    <w:div w:id="1027829795">
      <w:bodyDiv w:val="1"/>
      <w:marLeft w:val="0"/>
      <w:marRight w:val="0"/>
      <w:marTop w:val="0"/>
      <w:marBottom w:val="0"/>
      <w:divBdr>
        <w:top w:val="none" w:sz="0" w:space="0" w:color="auto"/>
        <w:left w:val="none" w:sz="0" w:space="0" w:color="auto"/>
        <w:bottom w:val="none" w:sz="0" w:space="0" w:color="auto"/>
        <w:right w:val="none" w:sz="0" w:space="0" w:color="auto"/>
      </w:divBdr>
    </w:div>
    <w:div w:id="1208026575">
      <w:bodyDiv w:val="1"/>
      <w:marLeft w:val="0"/>
      <w:marRight w:val="0"/>
      <w:marTop w:val="0"/>
      <w:marBottom w:val="0"/>
      <w:divBdr>
        <w:top w:val="none" w:sz="0" w:space="0" w:color="auto"/>
        <w:left w:val="none" w:sz="0" w:space="0" w:color="auto"/>
        <w:bottom w:val="none" w:sz="0" w:space="0" w:color="auto"/>
        <w:right w:val="none" w:sz="0" w:space="0" w:color="auto"/>
      </w:divBdr>
    </w:div>
    <w:div w:id="1481575178">
      <w:bodyDiv w:val="1"/>
      <w:marLeft w:val="0"/>
      <w:marRight w:val="0"/>
      <w:marTop w:val="0"/>
      <w:marBottom w:val="0"/>
      <w:divBdr>
        <w:top w:val="none" w:sz="0" w:space="0" w:color="auto"/>
        <w:left w:val="none" w:sz="0" w:space="0" w:color="auto"/>
        <w:bottom w:val="none" w:sz="0" w:space="0" w:color="auto"/>
        <w:right w:val="none" w:sz="0" w:space="0" w:color="auto"/>
      </w:divBdr>
    </w:div>
    <w:div w:id="2013336017">
      <w:bodyDiv w:val="1"/>
      <w:marLeft w:val="0"/>
      <w:marRight w:val="0"/>
      <w:marTop w:val="0"/>
      <w:marBottom w:val="0"/>
      <w:divBdr>
        <w:top w:val="none" w:sz="0" w:space="0" w:color="auto"/>
        <w:left w:val="none" w:sz="0" w:space="0" w:color="auto"/>
        <w:bottom w:val="none" w:sz="0" w:space="0" w:color="auto"/>
        <w:right w:val="none" w:sz="0" w:space="0" w:color="auto"/>
      </w:divBdr>
      <w:divsChild>
        <w:div w:id="179785644">
          <w:marLeft w:val="0"/>
          <w:marRight w:val="0"/>
          <w:marTop w:val="34"/>
          <w:marBottom w:val="34"/>
          <w:divBdr>
            <w:top w:val="none" w:sz="0" w:space="0" w:color="auto"/>
            <w:left w:val="none" w:sz="0" w:space="0" w:color="auto"/>
            <w:bottom w:val="none" w:sz="0" w:space="0" w:color="auto"/>
            <w:right w:val="none" w:sz="0" w:space="0" w:color="auto"/>
          </w:divBdr>
        </w:div>
        <w:div w:id="14779214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cbi.nlm.nih.gov/pubmed/27662240"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ncbi.nlm.nih.gov/pubmed/31009947" TargetMode="External"/><Relationship Id="rId7" Type="http://schemas.openxmlformats.org/officeDocument/2006/relationships/hyperlink" Target="https://www.ncbi.nlm.nih.gov/pubmed/31175404" TargetMode="External"/><Relationship Id="rId8" Type="http://schemas.openxmlformats.org/officeDocument/2006/relationships/hyperlink" Target="https://www.ncbi.nlm.nih.gov/pubmed/30623214" TargetMode="External"/><Relationship Id="rId9" Type="http://schemas.openxmlformats.org/officeDocument/2006/relationships/hyperlink" Target="https://www.ncbi.nlm.nih.gov/pubmed/24120384" TargetMode="External"/><Relationship Id="rId10" Type="http://schemas.openxmlformats.org/officeDocument/2006/relationships/hyperlink" Target="https://www.ncbi.nlm.nih.gov/pubmed/268556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16</Pages>
  <Words>5459</Words>
  <Characters>31122</Characters>
  <Application>Microsoft Macintosh Word</Application>
  <DocSecurity>0</DocSecurity>
  <Lines>259</Lines>
  <Paragraphs>73</Paragraphs>
  <ScaleCrop>false</ScaleCrop>
  <Company>City University of New York</Company>
  <LinksUpToDate>false</LinksUpToDate>
  <CharactersWithSpaces>36508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Macaulay Honors</dc:creator>
  <cp:keywords/>
  <dc:description/>
  <cp:lastModifiedBy>Macaulay Honors</cp:lastModifiedBy>
  <cp:revision>106</cp:revision>
  <dcterms:created xsi:type="dcterms:W3CDTF">2019-09-05T12:29:00Z</dcterms:created>
  <dcterms:modified xsi:type="dcterms:W3CDTF">2019-11-21T19:41:00Z</dcterms:modified>
</cp:coreProperties>
</file>